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sz w:val="8"/>
        </w:rPr>
      </w:pPr>
    </w:p>
    <w:p>
      <w:pPr>
        <w:pStyle w:val="BodyText"/>
        <w:spacing w:line="20" w:lineRule="exact"/>
        <w:ind w:left="1257"/>
        <w:rPr>
          <w:sz w:val="2"/>
        </w:rPr>
      </w:pPr>
      <w:r>
        <w:rPr>
          <w:sz w:val="2"/>
        </w:rPr>
        <w:pict>
          <v:group style="width:425.1pt;height:.5pt;mso-position-horizontal-relative:char;mso-position-vertical-relative:line" coordorigin="0,0" coordsize="8502,10">
            <v:line style="position:absolute" from="0,5" to="8502,5" stroked="true" strokeweight=".5pt" strokecolor="#000000">
              <v:stroke dashstyle="solid"/>
            </v:line>
          </v:group>
        </w:pict>
      </w:r>
      <w:r>
        <w:rPr>
          <w:sz w:val="2"/>
        </w:rPr>
      </w:r>
    </w:p>
    <w:p>
      <w:pPr>
        <w:pStyle w:val="BodyText"/>
        <w:rPr>
          <w:sz w:val="9"/>
        </w:rPr>
      </w:pPr>
    </w:p>
    <w:p>
      <w:pPr>
        <w:pStyle w:val="Heading1"/>
        <w:spacing w:line="252" w:lineRule="exact" w:before="91"/>
        <w:ind w:left="1264"/>
      </w:pPr>
      <w:r>
        <w:rPr/>
        <w:pict>
          <v:shape style="position:absolute;margin-left:20pt;margin-top:-7.680469pt;width:29pt;height:230.7pt;mso-position-horizontal-relative:page;mso-position-vertical-relative:paragraph;z-index:-18496" type="#_x0000_t202" filled="false" stroked="true" strokeweight=".5pt" strokecolor="#808080">
            <v:textbox inset="0,0,0,0" style="layout-flow:vertical;mso-layout-flow-alt:bottom-to-top">
              <w:txbxContent>
                <w:p>
                  <w:pPr>
                    <w:spacing w:line="208" w:lineRule="auto" w:before="57"/>
                    <w:ind w:left="1214" w:right="1899" w:firstLine="0"/>
                    <w:jc w:val="left"/>
                    <w:rPr>
                      <w:rFonts w:ascii="Arial"/>
                      <w:sz w:val="12"/>
                    </w:rPr>
                  </w:pPr>
                  <w:r>
                    <w:rPr>
                      <w:rFonts w:ascii="Arial"/>
                      <w:b/>
                      <w:sz w:val="12"/>
                    </w:rPr>
                    <w:t>Yolanda Ares Bao (1 de 1) </w:t>
                  </w:r>
                  <w:r>
                    <w:rPr>
                      <w:rFonts w:ascii="Arial"/>
                      <w:sz w:val="12"/>
                    </w:rPr>
                    <w:t>Interventora</w:t>
                  </w:r>
                </w:p>
                <w:p>
                  <w:pPr>
                    <w:spacing w:line="114" w:lineRule="exact" w:before="0"/>
                    <w:ind w:left="1214" w:right="0" w:firstLine="0"/>
                    <w:jc w:val="left"/>
                    <w:rPr>
                      <w:rFonts w:ascii="Arial"/>
                      <w:sz w:val="12"/>
                    </w:rPr>
                  </w:pPr>
                  <w:r>
                    <w:rPr>
                      <w:rFonts w:ascii="Arial"/>
                      <w:sz w:val="12"/>
                    </w:rPr>
                    <w:t>Fecha Firma: 13/01/2017</w:t>
                  </w:r>
                </w:p>
                <w:p>
                  <w:pPr>
                    <w:spacing w:line="129" w:lineRule="exact" w:before="0"/>
                    <w:ind w:left="1214" w:right="0" w:firstLine="0"/>
                    <w:jc w:val="left"/>
                    <w:rPr>
                      <w:rFonts w:ascii="Arial"/>
                      <w:sz w:val="12"/>
                    </w:rPr>
                  </w:pPr>
                  <w:r>
                    <w:rPr>
                      <w:rFonts w:ascii="Arial"/>
                      <w:sz w:val="12"/>
                    </w:rPr>
                    <w:t>HASH: 43fa98118b204b3d0b61cbe29a7e6187</w:t>
                  </w:r>
                </w:p>
              </w:txbxContent>
            </v:textbox>
            <v:stroke dashstyle="solid"/>
            <w10:wrap type="none"/>
          </v:shape>
        </w:pict>
      </w:r>
      <w:r>
        <w:rPr/>
        <w:t>DE: INTERVENTORA MUNICIPAL</w:t>
      </w:r>
    </w:p>
    <w:p>
      <w:pPr>
        <w:spacing w:line="252" w:lineRule="exact" w:before="0"/>
        <w:ind w:left="1264" w:right="0" w:firstLine="0"/>
        <w:jc w:val="left"/>
        <w:rPr>
          <w:b/>
          <w:sz w:val="22"/>
        </w:rPr>
      </w:pPr>
      <w:r>
        <w:rPr>
          <w:b/>
          <w:sz w:val="22"/>
        </w:rPr>
        <w:t>A: COMISIÓN INFORMATIVA E PLENO DA CORPORACIÓN</w:t>
      </w:r>
    </w:p>
    <w:p>
      <w:pPr>
        <w:pStyle w:val="BodyText"/>
        <w:rPr>
          <w:b/>
        </w:rPr>
      </w:pPr>
    </w:p>
    <w:p>
      <w:pPr>
        <w:spacing w:before="0"/>
        <w:ind w:left="1263" w:right="1704" w:firstLine="0"/>
        <w:jc w:val="left"/>
        <w:rPr>
          <w:b/>
          <w:sz w:val="22"/>
        </w:rPr>
      </w:pPr>
      <w:r>
        <w:rPr>
          <w:b/>
          <w:sz w:val="22"/>
        </w:rPr>
        <w:t>ASUNTO: Informe de evaluación do cumprimento da estabilidade orzamentaria no Proxecto de Orzamento para o exercicio 2017.</w:t>
      </w:r>
    </w:p>
    <w:p>
      <w:pPr>
        <w:pStyle w:val="BodyText"/>
        <w:spacing w:before="1"/>
        <w:rPr>
          <w:b/>
        </w:rPr>
      </w:pPr>
    </w:p>
    <w:p>
      <w:pPr>
        <w:pStyle w:val="ListParagraph"/>
        <w:numPr>
          <w:ilvl w:val="0"/>
          <w:numId w:val="1"/>
        </w:numPr>
        <w:tabs>
          <w:tab w:pos="1826" w:val="left" w:leader="none"/>
        </w:tabs>
        <w:spacing w:line="252" w:lineRule="exact" w:before="0" w:after="0"/>
        <w:ind w:left="1825" w:right="0" w:hanging="201"/>
        <w:jc w:val="left"/>
        <w:rPr>
          <w:b/>
          <w:sz w:val="22"/>
        </w:rPr>
      </w:pPr>
      <w:r>
        <w:rPr>
          <w:b/>
          <w:sz w:val="22"/>
        </w:rPr>
        <w:t>ANTECEDENTES:</w:t>
      </w:r>
    </w:p>
    <w:p>
      <w:pPr>
        <w:pStyle w:val="BodyText"/>
        <w:spacing w:line="252" w:lineRule="exact"/>
        <w:ind w:left="1263"/>
      </w:pPr>
      <w:r>
        <w:rPr/>
        <w:t>Expediente do Proxecto de orzamento, que está integrado por:</w:t>
      </w:r>
    </w:p>
    <w:p>
      <w:pPr>
        <w:pStyle w:val="ListParagraph"/>
        <w:numPr>
          <w:ilvl w:val="1"/>
          <w:numId w:val="1"/>
        </w:numPr>
        <w:tabs>
          <w:tab w:pos="2327" w:val="left" w:leader="none"/>
          <w:tab w:pos="2328" w:val="left" w:leader="none"/>
        </w:tabs>
        <w:spacing w:line="350" w:lineRule="exact" w:before="182" w:after="0"/>
        <w:ind w:left="2328" w:right="0" w:hanging="360"/>
        <w:jc w:val="left"/>
        <w:rPr>
          <w:sz w:val="22"/>
        </w:rPr>
      </w:pPr>
      <w:r>
        <w:rPr/>
        <w:pict>
          <v:shape style="position:absolute;margin-left:535.991211pt;margin-top:22.48107pt;width:32.9pt;height:247.2pt;mso-position-horizontal-relative:page;mso-position-vertical-relative:paragraph;z-index:1120" type="#_x0000_t202" filled="false" stroked="false">
            <v:textbox inset="0,0,0,0" style="layout-flow:vertical;mso-layout-flow-alt:bottom-to-top">
              <w:txbxContent>
                <w:p>
                  <w:pPr>
                    <w:spacing w:line="417" w:lineRule="exact" w:before="20"/>
                    <w:ind w:left="20" w:right="0" w:firstLine="0"/>
                    <w:jc w:val="left"/>
                    <w:rPr>
                      <w:rFonts w:ascii="Tahoma"/>
                      <w:sz w:val="36"/>
                    </w:rPr>
                  </w:pPr>
                  <w:r>
                    <w:rPr>
                      <w:rFonts w:ascii="Tahoma"/>
                      <w:sz w:val="36"/>
                    </w:rPr>
                    <w:t>INFORMES DE INTERVENCION</w:t>
                  </w:r>
                </w:p>
                <w:p>
                  <w:pPr>
                    <w:spacing w:line="200" w:lineRule="exact" w:before="0"/>
                    <w:ind w:left="40" w:right="0" w:firstLine="0"/>
                    <w:jc w:val="left"/>
                    <w:rPr>
                      <w:rFonts w:ascii="Tahoma" w:hAnsi="Tahoma"/>
                      <w:sz w:val="18"/>
                    </w:rPr>
                  </w:pPr>
                  <w:r>
                    <w:rPr>
                      <w:rFonts w:ascii="Tahoma" w:hAnsi="Tahoma"/>
                      <w:sz w:val="18"/>
                    </w:rPr>
                    <w:t>Número: 2017-0002 Fecha: 13/01/2017</w:t>
                  </w:r>
                </w:p>
              </w:txbxContent>
            </v:textbox>
            <w10:wrap type="none"/>
          </v:shape>
        </w:pict>
      </w:r>
      <w:r>
        <w:rPr>
          <w:sz w:val="22"/>
        </w:rPr>
        <w:t>Liquidación do orzamento do exercicio</w:t>
      </w:r>
      <w:r>
        <w:rPr>
          <w:spacing w:val="-3"/>
          <w:sz w:val="22"/>
        </w:rPr>
        <w:t> </w:t>
      </w:r>
      <w:r>
        <w:rPr>
          <w:sz w:val="22"/>
        </w:rPr>
        <w:t>2015.</w:t>
      </w:r>
    </w:p>
    <w:p>
      <w:pPr>
        <w:pStyle w:val="ListParagraph"/>
        <w:numPr>
          <w:ilvl w:val="1"/>
          <w:numId w:val="1"/>
        </w:numPr>
        <w:tabs>
          <w:tab w:pos="2327" w:val="left" w:leader="none"/>
          <w:tab w:pos="2328" w:val="left" w:leader="none"/>
        </w:tabs>
        <w:spacing w:line="287" w:lineRule="exact" w:before="0" w:after="0"/>
        <w:ind w:left="2328" w:right="0" w:hanging="360"/>
        <w:jc w:val="left"/>
        <w:rPr>
          <w:sz w:val="22"/>
        </w:rPr>
      </w:pPr>
      <w:r>
        <w:rPr>
          <w:spacing w:val="-4"/>
          <w:sz w:val="22"/>
        </w:rPr>
        <w:t>Avance </w:t>
      </w:r>
      <w:r>
        <w:rPr>
          <w:sz w:val="22"/>
        </w:rPr>
        <w:t>da liquidación do orzamento</w:t>
      </w:r>
      <w:r>
        <w:rPr>
          <w:spacing w:val="0"/>
          <w:sz w:val="22"/>
        </w:rPr>
        <w:t> </w:t>
      </w:r>
      <w:r>
        <w:rPr>
          <w:sz w:val="22"/>
        </w:rPr>
        <w:t>2016.</w:t>
      </w:r>
    </w:p>
    <w:p>
      <w:pPr>
        <w:pStyle w:val="ListParagraph"/>
        <w:numPr>
          <w:ilvl w:val="1"/>
          <w:numId w:val="1"/>
        </w:numPr>
        <w:tabs>
          <w:tab w:pos="2327" w:val="left" w:leader="none"/>
          <w:tab w:pos="2328" w:val="left" w:leader="none"/>
        </w:tabs>
        <w:spacing w:line="287" w:lineRule="exact" w:before="0" w:after="0"/>
        <w:ind w:left="2328" w:right="0" w:hanging="360"/>
        <w:jc w:val="left"/>
        <w:rPr>
          <w:sz w:val="22"/>
        </w:rPr>
      </w:pPr>
      <w:r>
        <w:rPr>
          <w:sz w:val="22"/>
        </w:rPr>
        <w:t>Estados de Gastos e</w:t>
      </w:r>
      <w:r>
        <w:rPr>
          <w:spacing w:val="-2"/>
          <w:sz w:val="22"/>
        </w:rPr>
        <w:t> </w:t>
      </w:r>
      <w:r>
        <w:rPr>
          <w:sz w:val="22"/>
        </w:rPr>
        <w:t>Ingresos.</w:t>
      </w:r>
    </w:p>
    <w:p>
      <w:pPr>
        <w:pStyle w:val="ListParagraph"/>
        <w:numPr>
          <w:ilvl w:val="1"/>
          <w:numId w:val="1"/>
        </w:numPr>
        <w:tabs>
          <w:tab w:pos="2327" w:val="left" w:leader="none"/>
          <w:tab w:pos="2328" w:val="left" w:leader="none"/>
        </w:tabs>
        <w:spacing w:line="287" w:lineRule="exact" w:before="0" w:after="0"/>
        <w:ind w:left="2328" w:right="0" w:hanging="360"/>
        <w:jc w:val="left"/>
        <w:rPr>
          <w:sz w:val="22"/>
        </w:rPr>
      </w:pPr>
      <w:r>
        <w:rPr>
          <w:sz w:val="22"/>
        </w:rPr>
        <w:t>Anexo de</w:t>
      </w:r>
      <w:r>
        <w:rPr>
          <w:spacing w:val="-2"/>
          <w:sz w:val="22"/>
        </w:rPr>
        <w:t> </w:t>
      </w:r>
      <w:r>
        <w:rPr>
          <w:sz w:val="22"/>
        </w:rPr>
        <w:t>Persoal.</w:t>
      </w:r>
    </w:p>
    <w:p>
      <w:pPr>
        <w:pStyle w:val="ListParagraph"/>
        <w:numPr>
          <w:ilvl w:val="1"/>
          <w:numId w:val="1"/>
        </w:numPr>
        <w:tabs>
          <w:tab w:pos="2327" w:val="left" w:leader="none"/>
          <w:tab w:pos="2328" w:val="left" w:leader="none"/>
        </w:tabs>
        <w:spacing w:line="232" w:lineRule="exact" w:before="0" w:after="0"/>
        <w:ind w:left="2328" w:right="0" w:hanging="360"/>
        <w:jc w:val="left"/>
        <w:rPr>
          <w:sz w:val="22"/>
        </w:rPr>
      </w:pPr>
      <w:r>
        <w:rPr>
          <w:sz w:val="22"/>
        </w:rPr>
        <w:t>Plantilla de</w:t>
      </w:r>
      <w:r>
        <w:rPr>
          <w:spacing w:val="-2"/>
          <w:sz w:val="22"/>
        </w:rPr>
        <w:t> </w:t>
      </w:r>
      <w:r>
        <w:rPr>
          <w:sz w:val="22"/>
        </w:rPr>
        <w:t>Persoal</w:t>
      </w:r>
    </w:p>
    <w:p>
      <w:pPr>
        <w:tabs>
          <w:tab w:pos="2327" w:val="left" w:leader="none"/>
        </w:tabs>
        <w:spacing w:line="342" w:lineRule="exact" w:before="0"/>
        <w:ind w:left="100" w:right="0" w:firstLine="0"/>
        <w:jc w:val="left"/>
        <w:rPr>
          <w:sz w:val="22"/>
        </w:rPr>
      </w:pPr>
      <w:r>
        <w:rPr>
          <w:position w:val="-7"/>
        </w:rPr>
        <w:drawing>
          <wp:inline distT="0" distB="0" distL="0" distR="0">
            <wp:extent cx="203200" cy="304800"/>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03200" cy="304800"/>
                    </a:xfrm>
                    <a:prstGeom prst="rect">
                      <a:avLst/>
                    </a:prstGeom>
                  </pic:spPr>
                </pic:pic>
              </a:graphicData>
            </a:graphic>
          </wp:inline>
        </w:drawing>
      </w:r>
      <w:r>
        <w:rPr>
          <w:position w:val="-7"/>
        </w:rPr>
      </w:r>
      <w:r>
        <w:rPr>
          <w:sz w:val="20"/>
        </w:rPr>
        <w:t>                              </w:t>
      </w:r>
      <w:r>
        <w:rPr>
          <w:spacing w:val="-2"/>
          <w:sz w:val="20"/>
        </w:rPr>
        <w:t> </w:t>
      </w:r>
      <w:r>
        <w:rPr>
          <w:rFonts w:ascii="Arial Unicode MS" w:hAnsi="Arial Unicode MS"/>
          <w:w w:val="105"/>
          <w:sz w:val="22"/>
        </w:rPr>
        <w:t></w:t>
        <w:tab/>
      </w:r>
      <w:r>
        <w:rPr>
          <w:w w:val="105"/>
          <w:sz w:val="22"/>
        </w:rPr>
        <w:t>Anexo de</w:t>
      </w:r>
      <w:r>
        <w:rPr>
          <w:spacing w:val="-9"/>
          <w:w w:val="105"/>
          <w:sz w:val="22"/>
        </w:rPr>
        <w:t> </w:t>
      </w:r>
      <w:r>
        <w:rPr>
          <w:w w:val="105"/>
          <w:sz w:val="22"/>
        </w:rPr>
        <w:t>Investimentos.</w:t>
      </w:r>
    </w:p>
    <w:p>
      <w:pPr>
        <w:pStyle w:val="ListParagraph"/>
        <w:numPr>
          <w:ilvl w:val="1"/>
          <w:numId w:val="1"/>
        </w:numPr>
        <w:tabs>
          <w:tab w:pos="2327" w:val="left" w:leader="none"/>
          <w:tab w:pos="2328" w:val="left" w:leader="none"/>
        </w:tabs>
        <w:spacing w:line="199" w:lineRule="auto" w:before="0" w:after="0"/>
        <w:ind w:left="2328" w:right="1726" w:hanging="360"/>
        <w:jc w:val="left"/>
        <w:rPr>
          <w:i/>
          <w:sz w:val="22"/>
        </w:rPr>
      </w:pPr>
      <w:r>
        <w:rPr>
          <w:i/>
          <w:sz w:val="22"/>
        </w:rPr>
        <w:t>Manual de Cálculo del Déficit en Contabilidad Nacional adaptado a las </w:t>
      </w:r>
      <w:r>
        <w:rPr>
          <w:i/>
          <w:sz w:val="22"/>
        </w:rPr>
        <w:t>Corporaciones Locales.</w:t>
      </w:r>
    </w:p>
    <w:p>
      <w:pPr>
        <w:pStyle w:val="ListParagraph"/>
        <w:numPr>
          <w:ilvl w:val="1"/>
          <w:numId w:val="1"/>
        </w:numPr>
        <w:tabs>
          <w:tab w:pos="2327" w:val="left" w:leader="none"/>
          <w:tab w:pos="2328" w:val="left" w:leader="none"/>
        </w:tabs>
        <w:spacing w:line="199" w:lineRule="auto" w:before="0" w:after="0"/>
        <w:ind w:left="2328" w:right="1691" w:hanging="360"/>
        <w:jc w:val="left"/>
        <w:rPr>
          <w:sz w:val="22"/>
        </w:rPr>
      </w:pPr>
      <w:r>
        <w:rPr>
          <w:i/>
          <w:sz w:val="22"/>
        </w:rPr>
        <w:t>Guía para la determinación de la Regla de Gasto del artículo 12 de la Ley 2/2012 </w:t>
      </w:r>
      <w:r>
        <w:rPr>
          <w:i/>
          <w:sz w:val="22"/>
        </w:rPr>
        <w:t>Orgánica de Estabilidad Presupuestaria y Sostenibilidad Financiera</w:t>
      </w:r>
      <w:r>
        <w:rPr>
          <w:sz w:val="22"/>
        </w:rPr>
        <w:t>,</w:t>
      </w:r>
      <w:r>
        <w:rPr>
          <w:spacing w:val="47"/>
          <w:sz w:val="22"/>
        </w:rPr>
        <w:t> </w:t>
      </w:r>
      <w:r>
        <w:rPr>
          <w:sz w:val="22"/>
        </w:rPr>
        <w:t>publicada</w:t>
      </w:r>
    </w:p>
    <w:p>
      <w:pPr>
        <w:pStyle w:val="BodyText"/>
        <w:spacing w:line="217" w:lineRule="exact"/>
        <w:ind w:left="2327"/>
      </w:pPr>
      <w:r>
        <w:rPr/>
        <w:t>pola IGAE.</w:t>
      </w:r>
    </w:p>
    <w:p>
      <w:pPr>
        <w:pStyle w:val="ListParagraph"/>
        <w:numPr>
          <w:ilvl w:val="1"/>
          <w:numId w:val="1"/>
        </w:numPr>
        <w:tabs>
          <w:tab w:pos="2327" w:val="left" w:leader="none"/>
          <w:tab w:pos="2328" w:val="left" w:leader="none"/>
        </w:tabs>
        <w:spacing w:line="199" w:lineRule="auto" w:before="0" w:after="0"/>
        <w:ind w:left="2328" w:right="1720" w:hanging="360"/>
        <w:jc w:val="left"/>
        <w:rPr>
          <w:i/>
          <w:sz w:val="22"/>
        </w:rPr>
      </w:pPr>
      <w:r>
        <w:rPr>
          <w:sz w:val="22"/>
        </w:rPr>
        <w:t>Documento denominado “</w:t>
      </w:r>
      <w:r>
        <w:rPr>
          <w:i/>
          <w:sz w:val="22"/>
        </w:rPr>
        <w:t>Información a comunicar para el cumplimiento de las </w:t>
      </w:r>
      <w:r>
        <w:rPr>
          <w:i/>
          <w:sz w:val="22"/>
        </w:rPr>
        <w:t>obligaciones</w:t>
      </w:r>
      <w:r>
        <w:rPr>
          <w:i/>
          <w:spacing w:val="25"/>
          <w:sz w:val="22"/>
        </w:rPr>
        <w:t> </w:t>
      </w:r>
      <w:r>
        <w:rPr>
          <w:i/>
          <w:sz w:val="22"/>
        </w:rPr>
        <w:t>contempladas</w:t>
      </w:r>
      <w:r>
        <w:rPr>
          <w:i/>
          <w:spacing w:val="25"/>
          <w:sz w:val="22"/>
        </w:rPr>
        <w:t> </w:t>
      </w:r>
      <w:r>
        <w:rPr>
          <w:i/>
          <w:sz w:val="22"/>
        </w:rPr>
        <w:t>en</w:t>
      </w:r>
      <w:r>
        <w:rPr>
          <w:i/>
          <w:spacing w:val="25"/>
          <w:sz w:val="22"/>
        </w:rPr>
        <w:t> </w:t>
      </w:r>
      <w:r>
        <w:rPr>
          <w:i/>
          <w:sz w:val="22"/>
        </w:rPr>
        <w:t>la</w:t>
      </w:r>
      <w:r>
        <w:rPr>
          <w:i/>
          <w:spacing w:val="25"/>
          <w:sz w:val="22"/>
        </w:rPr>
        <w:t> </w:t>
      </w:r>
      <w:r>
        <w:rPr>
          <w:i/>
          <w:sz w:val="22"/>
        </w:rPr>
        <w:t>Orden</w:t>
      </w:r>
      <w:r>
        <w:rPr>
          <w:i/>
          <w:spacing w:val="25"/>
          <w:sz w:val="22"/>
        </w:rPr>
        <w:t> </w:t>
      </w:r>
      <w:r>
        <w:rPr>
          <w:i/>
          <w:sz w:val="22"/>
        </w:rPr>
        <w:t>HAP/2105/2012,</w:t>
      </w:r>
      <w:r>
        <w:rPr>
          <w:i/>
          <w:spacing w:val="25"/>
          <w:sz w:val="22"/>
        </w:rPr>
        <w:t> </w:t>
      </w:r>
      <w:r>
        <w:rPr>
          <w:i/>
          <w:sz w:val="22"/>
        </w:rPr>
        <w:t>de</w:t>
      </w:r>
      <w:r>
        <w:rPr>
          <w:i/>
          <w:spacing w:val="25"/>
          <w:sz w:val="22"/>
        </w:rPr>
        <w:t> </w:t>
      </w:r>
      <w:r>
        <w:rPr>
          <w:i/>
          <w:sz w:val="22"/>
        </w:rPr>
        <w:t>1</w:t>
      </w:r>
      <w:r>
        <w:rPr>
          <w:i/>
          <w:spacing w:val="25"/>
          <w:sz w:val="22"/>
        </w:rPr>
        <w:t> </w:t>
      </w:r>
      <w:r>
        <w:rPr>
          <w:i/>
          <w:sz w:val="22"/>
        </w:rPr>
        <w:t>de</w:t>
      </w:r>
      <w:r>
        <w:rPr>
          <w:i/>
          <w:spacing w:val="25"/>
          <w:sz w:val="22"/>
        </w:rPr>
        <w:t> </w:t>
      </w:r>
      <w:r>
        <w:rPr>
          <w:i/>
          <w:sz w:val="22"/>
        </w:rPr>
        <w:t>octubre,</w:t>
      </w:r>
      <w:r>
        <w:rPr>
          <w:i/>
          <w:spacing w:val="25"/>
          <w:sz w:val="22"/>
        </w:rPr>
        <w:t> </w:t>
      </w:r>
      <w:r>
        <w:rPr>
          <w:i/>
          <w:sz w:val="22"/>
        </w:rPr>
        <w:t>por</w:t>
      </w:r>
      <w:r>
        <w:rPr>
          <w:i/>
          <w:spacing w:val="25"/>
          <w:sz w:val="22"/>
        </w:rPr>
        <w:t> </w:t>
      </w:r>
      <w:r>
        <w:rPr>
          <w:i/>
          <w:sz w:val="22"/>
        </w:rPr>
        <w:t>la</w:t>
      </w:r>
    </w:p>
    <w:p>
      <w:pPr>
        <w:spacing w:before="5"/>
        <w:ind w:left="2327" w:right="1696" w:firstLine="0"/>
        <w:jc w:val="both"/>
        <w:rPr>
          <w:sz w:val="22"/>
        </w:rPr>
      </w:pPr>
      <w:r>
        <w:rPr>
          <w:i/>
          <w:sz w:val="22"/>
        </w:rPr>
        <w:t>que se desarrollan las obligaciones de suministro de información previstas en la </w:t>
      </w:r>
      <w:r>
        <w:rPr>
          <w:i/>
          <w:sz w:val="22"/>
        </w:rPr>
        <w:t>Ley Orgánica 2/2012, de 27 de abril, de Estabilidad Presupuestaria y Sostenibilidad Financiera</w:t>
      </w:r>
      <w:r>
        <w:rPr>
          <w:sz w:val="22"/>
        </w:rPr>
        <w:t>”, publicada polo Ministerio de Hacienda y Administraciones Públicas.</w:t>
      </w:r>
    </w:p>
    <w:p>
      <w:pPr>
        <w:pStyle w:val="ListParagraph"/>
        <w:numPr>
          <w:ilvl w:val="1"/>
          <w:numId w:val="1"/>
        </w:numPr>
        <w:tabs>
          <w:tab w:pos="2327" w:val="left" w:leader="none"/>
          <w:tab w:pos="2328" w:val="left" w:leader="none"/>
        </w:tabs>
        <w:spacing w:line="313" w:lineRule="exact" w:before="0" w:after="0"/>
        <w:ind w:left="2328" w:right="0" w:hanging="360"/>
        <w:jc w:val="left"/>
        <w:rPr>
          <w:sz w:val="22"/>
        </w:rPr>
      </w:pPr>
      <w:r>
        <w:rPr>
          <w:sz w:val="22"/>
        </w:rPr>
        <w:t>Acordo</w:t>
      </w:r>
      <w:r>
        <w:rPr>
          <w:spacing w:val="35"/>
          <w:sz w:val="22"/>
        </w:rPr>
        <w:t> </w:t>
      </w:r>
      <w:r>
        <w:rPr>
          <w:sz w:val="22"/>
        </w:rPr>
        <w:t>do</w:t>
      </w:r>
      <w:r>
        <w:rPr>
          <w:spacing w:val="35"/>
          <w:sz w:val="22"/>
        </w:rPr>
        <w:t> </w:t>
      </w:r>
      <w:r>
        <w:rPr>
          <w:sz w:val="22"/>
        </w:rPr>
        <w:t>Consello</w:t>
      </w:r>
      <w:r>
        <w:rPr>
          <w:spacing w:val="36"/>
          <w:sz w:val="22"/>
        </w:rPr>
        <w:t> </w:t>
      </w:r>
      <w:r>
        <w:rPr>
          <w:sz w:val="22"/>
        </w:rPr>
        <w:t>de</w:t>
      </w:r>
      <w:r>
        <w:rPr>
          <w:spacing w:val="35"/>
          <w:sz w:val="22"/>
        </w:rPr>
        <w:t> </w:t>
      </w:r>
      <w:r>
        <w:rPr>
          <w:sz w:val="22"/>
        </w:rPr>
        <w:t>Ministros</w:t>
      </w:r>
      <w:r>
        <w:rPr>
          <w:spacing w:val="35"/>
          <w:sz w:val="22"/>
        </w:rPr>
        <w:t> </w:t>
      </w:r>
      <w:r>
        <w:rPr>
          <w:sz w:val="22"/>
        </w:rPr>
        <w:t>do</w:t>
      </w:r>
      <w:r>
        <w:rPr>
          <w:spacing w:val="35"/>
          <w:sz w:val="22"/>
        </w:rPr>
        <w:t> </w:t>
      </w:r>
      <w:r>
        <w:rPr>
          <w:sz w:val="22"/>
        </w:rPr>
        <w:t>10</w:t>
      </w:r>
      <w:r>
        <w:rPr>
          <w:spacing w:val="32"/>
          <w:sz w:val="22"/>
        </w:rPr>
        <w:t> </w:t>
      </w:r>
      <w:r>
        <w:rPr>
          <w:sz w:val="22"/>
        </w:rPr>
        <w:t>de</w:t>
      </w:r>
      <w:r>
        <w:rPr>
          <w:spacing w:val="35"/>
          <w:sz w:val="22"/>
        </w:rPr>
        <w:t> </w:t>
      </w:r>
      <w:r>
        <w:rPr>
          <w:sz w:val="22"/>
        </w:rPr>
        <w:t>xullo</w:t>
      </w:r>
      <w:r>
        <w:rPr>
          <w:spacing w:val="35"/>
          <w:sz w:val="22"/>
        </w:rPr>
        <w:t> </w:t>
      </w:r>
      <w:r>
        <w:rPr>
          <w:sz w:val="22"/>
        </w:rPr>
        <w:t>de</w:t>
      </w:r>
      <w:r>
        <w:rPr>
          <w:spacing w:val="35"/>
          <w:sz w:val="22"/>
        </w:rPr>
        <w:t> </w:t>
      </w:r>
      <w:r>
        <w:rPr>
          <w:sz w:val="22"/>
        </w:rPr>
        <w:t>2015,</w:t>
      </w:r>
      <w:r>
        <w:rPr>
          <w:spacing w:val="33"/>
          <w:sz w:val="22"/>
        </w:rPr>
        <w:t> </w:t>
      </w:r>
      <w:r>
        <w:rPr>
          <w:sz w:val="22"/>
        </w:rPr>
        <w:t>polo</w:t>
      </w:r>
      <w:r>
        <w:rPr>
          <w:spacing w:val="36"/>
          <w:sz w:val="22"/>
        </w:rPr>
        <w:t> </w:t>
      </w:r>
      <w:r>
        <w:rPr>
          <w:sz w:val="22"/>
        </w:rPr>
        <w:t>que</w:t>
      </w:r>
      <w:r>
        <w:rPr>
          <w:spacing w:val="35"/>
          <w:sz w:val="22"/>
        </w:rPr>
        <w:t> </w:t>
      </w:r>
      <w:r>
        <w:rPr>
          <w:sz w:val="22"/>
        </w:rPr>
        <w:t>se</w:t>
      </w:r>
      <w:r>
        <w:rPr>
          <w:spacing w:val="35"/>
          <w:sz w:val="22"/>
        </w:rPr>
        <w:t> </w:t>
      </w:r>
      <w:r>
        <w:rPr>
          <w:sz w:val="22"/>
        </w:rPr>
        <w:t>fixan</w:t>
      </w:r>
      <w:r>
        <w:rPr>
          <w:spacing w:val="36"/>
          <w:sz w:val="22"/>
        </w:rPr>
        <w:t> </w:t>
      </w:r>
      <w:r>
        <w:rPr>
          <w:sz w:val="22"/>
        </w:rPr>
        <w:t>os</w:t>
      </w:r>
    </w:p>
    <w:p>
      <w:pPr>
        <w:pStyle w:val="BodyText"/>
        <w:spacing w:line="226" w:lineRule="exact"/>
        <w:ind w:left="2327"/>
      </w:pPr>
      <w:r>
        <w:rPr/>
        <w:t>obxectivos de estabilidade orzamentaria e de débeda pública para o conxunto das</w:t>
      </w:r>
    </w:p>
    <w:p>
      <w:pPr>
        <w:pStyle w:val="BodyText"/>
        <w:spacing w:before="1"/>
        <w:ind w:left="2327" w:right="1703"/>
        <w:jc w:val="both"/>
      </w:pPr>
      <w:r>
        <w:rPr/>
        <w:drawing>
          <wp:anchor distT="0" distB="0" distL="0" distR="0" allowOverlap="1" layoutInCell="1" locked="0" behindDoc="0" simplePos="0" relativeHeight="1072">
            <wp:simplePos x="0" y="0"/>
            <wp:positionH relativeFrom="page">
              <wp:posOffset>6871850</wp:posOffset>
            </wp:positionH>
            <wp:positionV relativeFrom="paragraph">
              <wp:posOffset>122167</wp:posOffset>
            </wp:positionV>
            <wp:extent cx="328070" cy="391160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328070" cy="3911600"/>
                    </a:xfrm>
                    <a:prstGeom prst="rect">
                      <a:avLst/>
                    </a:prstGeom>
                  </pic:spPr>
                </pic:pic>
              </a:graphicData>
            </a:graphic>
          </wp:anchor>
        </w:drawing>
      </w:r>
      <w:r>
        <w:rPr/>
        <w:pict>
          <v:shape style="position:absolute;margin-left:567.568359pt;margin-top:39.853481pt;width:14.75pt;height:279.8pt;mso-position-horizontal-relative:page;mso-position-vertical-relative:paragraph;z-index:1144" type="#_x0000_t202" filled="false" stroked="false">
            <v:textbox inset="0,0,0,0" style="layout-flow:vertical;mso-layout-flow-alt:bottom-to-top">
              <w:txbxContent>
                <w:p>
                  <w:pPr>
                    <w:spacing w:line="208" w:lineRule="auto" w:before="30"/>
                    <w:ind w:left="20" w:right="0" w:firstLine="0"/>
                    <w:jc w:val="left"/>
                    <w:rPr>
                      <w:rFonts w:ascii="Arial" w:hAnsi="Arial"/>
                      <w:sz w:val="12"/>
                    </w:rPr>
                  </w:pPr>
                  <w:r>
                    <w:rPr>
                      <w:rFonts w:ascii="Arial" w:hAnsi="Arial"/>
                      <w:sz w:val="12"/>
                    </w:rPr>
                    <w:t>Cód.</w:t>
                  </w:r>
                  <w:r>
                    <w:rPr>
                      <w:rFonts w:ascii="Arial" w:hAnsi="Arial"/>
                      <w:spacing w:val="-15"/>
                      <w:sz w:val="12"/>
                    </w:rPr>
                    <w:t> </w:t>
                  </w:r>
                  <w:r>
                    <w:rPr>
                      <w:rFonts w:ascii="Arial" w:hAnsi="Arial"/>
                      <w:sz w:val="12"/>
                    </w:rPr>
                    <w:t>Validación:</w:t>
                  </w:r>
                  <w:r>
                    <w:rPr>
                      <w:rFonts w:ascii="Arial" w:hAnsi="Arial"/>
                      <w:spacing w:val="-15"/>
                      <w:sz w:val="12"/>
                    </w:rPr>
                    <w:t> </w:t>
                  </w:r>
                  <w:r>
                    <w:rPr>
                      <w:rFonts w:ascii="Arial" w:hAnsi="Arial"/>
                      <w:sz w:val="12"/>
                    </w:rPr>
                    <w:t>3LDMQ24NCGAA6DTPYZDWAMMPG</w:t>
                  </w:r>
                  <w:r>
                    <w:rPr>
                      <w:rFonts w:ascii="Arial" w:hAnsi="Arial"/>
                      <w:spacing w:val="-15"/>
                      <w:sz w:val="12"/>
                    </w:rPr>
                    <w:t> </w:t>
                  </w:r>
                  <w:r>
                    <w:rPr>
                      <w:rFonts w:ascii="Arial" w:hAnsi="Arial"/>
                      <w:sz w:val="12"/>
                    </w:rPr>
                    <w:t>|</w:t>
                  </w:r>
                  <w:r>
                    <w:rPr>
                      <w:rFonts w:ascii="Arial" w:hAnsi="Arial"/>
                      <w:spacing w:val="-15"/>
                      <w:sz w:val="12"/>
                    </w:rPr>
                    <w:t> </w:t>
                  </w:r>
                  <w:r>
                    <w:rPr>
                      <w:rFonts w:ascii="Arial" w:hAnsi="Arial"/>
                      <w:sz w:val="12"/>
                    </w:rPr>
                    <w:t>Verificación:</w:t>
                  </w:r>
                  <w:hyperlink r:id="rId8">
                    <w:r>
                      <w:rPr>
                        <w:rFonts w:ascii="Arial" w:hAnsi="Arial"/>
                        <w:spacing w:val="-15"/>
                        <w:sz w:val="12"/>
                      </w:rPr>
                      <w:t> </w:t>
                    </w:r>
                    <w:r>
                      <w:rPr>
                        <w:rFonts w:ascii="Arial" w:hAnsi="Arial"/>
                        <w:sz w:val="12"/>
                      </w:rPr>
                      <w:t>http://ortigueira.sedelectronica.es/</w:t>
                    </w:r>
                  </w:hyperlink>
                  <w:r>
                    <w:rPr>
                      <w:rFonts w:ascii="Arial" w:hAnsi="Arial"/>
                      <w:sz w:val="12"/>
                    </w:rPr>
                    <w:t> Documento</w:t>
                  </w:r>
                  <w:r>
                    <w:rPr>
                      <w:rFonts w:ascii="Arial" w:hAnsi="Arial"/>
                      <w:spacing w:val="-3"/>
                      <w:sz w:val="12"/>
                    </w:rPr>
                    <w:t> </w:t>
                  </w:r>
                  <w:r>
                    <w:rPr>
                      <w:rFonts w:ascii="Arial" w:hAnsi="Arial"/>
                      <w:sz w:val="12"/>
                    </w:rPr>
                    <w:t>firmado</w:t>
                  </w:r>
                  <w:r>
                    <w:rPr>
                      <w:rFonts w:ascii="Arial" w:hAnsi="Arial"/>
                      <w:spacing w:val="-3"/>
                      <w:sz w:val="12"/>
                    </w:rPr>
                    <w:t> </w:t>
                  </w:r>
                  <w:r>
                    <w:rPr>
                      <w:rFonts w:ascii="Arial" w:hAnsi="Arial"/>
                      <w:sz w:val="12"/>
                    </w:rPr>
                    <w:t>electrónicamente</w:t>
                  </w:r>
                  <w:r>
                    <w:rPr>
                      <w:rFonts w:ascii="Arial" w:hAnsi="Arial"/>
                      <w:spacing w:val="-3"/>
                      <w:sz w:val="12"/>
                    </w:rPr>
                    <w:t> </w:t>
                  </w:r>
                  <w:r>
                    <w:rPr>
                      <w:rFonts w:ascii="Arial" w:hAnsi="Arial"/>
                      <w:sz w:val="12"/>
                    </w:rPr>
                    <w:t>desde</w:t>
                  </w:r>
                  <w:r>
                    <w:rPr>
                      <w:rFonts w:ascii="Arial" w:hAnsi="Arial"/>
                      <w:spacing w:val="-3"/>
                      <w:sz w:val="12"/>
                    </w:rPr>
                    <w:t> </w:t>
                  </w:r>
                  <w:r>
                    <w:rPr>
                      <w:rFonts w:ascii="Arial" w:hAnsi="Arial"/>
                      <w:sz w:val="12"/>
                    </w:rPr>
                    <w:t>la</w:t>
                  </w:r>
                  <w:r>
                    <w:rPr>
                      <w:rFonts w:ascii="Arial" w:hAnsi="Arial"/>
                      <w:spacing w:val="-3"/>
                      <w:sz w:val="12"/>
                    </w:rPr>
                    <w:t> </w:t>
                  </w:r>
                  <w:r>
                    <w:rPr>
                      <w:rFonts w:ascii="Arial" w:hAnsi="Arial"/>
                      <w:sz w:val="12"/>
                    </w:rPr>
                    <w:t>plataforma</w:t>
                  </w:r>
                  <w:r>
                    <w:rPr>
                      <w:rFonts w:ascii="Arial" w:hAnsi="Arial"/>
                      <w:spacing w:val="-3"/>
                      <w:sz w:val="12"/>
                    </w:rPr>
                    <w:t> </w:t>
                  </w:r>
                  <w:r>
                    <w:rPr>
                      <w:rFonts w:ascii="Arial" w:hAnsi="Arial"/>
                      <w:sz w:val="12"/>
                    </w:rPr>
                    <w:t>esPublico</w:t>
                  </w:r>
                  <w:r>
                    <w:rPr>
                      <w:rFonts w:ascii="Arial" w:hAnsi="Arial"/>
                      <w:spacing w:val="-3"/>
                      <w:sz w:val="12"/>
                    </w:rPr>
                    <w:t> </w:t>
                  </w:r>
                  <w:r>
                    <w:rPr>
                      <w:rFonts w:ascii="Arial" w:hAnsi="Arial"/>
                      <w:sz w:val="12"/>
                    </w:rPr>
                    <w:t>Gestiona</w:t>
                  </w:r>
                  <w:r>
                    <w:rPr>
                      <w:rFonts w:ascii="Arial" w:hAnsi="Arial"/>
                      <w:spacing w:val="-3"/>
                      <w:sz w:val="12"/>
                    </w:rPr>
                    <w:t> </w:t>
                  </w:r>
                  <w:r>
                    <w:rPr>
                      <w:rFonts w:ascii="Arial" w:hAnsi="Arial"/>
                      <w:sz w:val="12"/>
                    </w:rPr>
                    <w:t>|</w:t>
                  </w:r>
                  <w:r>
                    <w:rPr>
                      <w:rFonts w:ascii="Arial" w:hAnsi="Arial"/>
                      <w:spacing w:val="-3"/>
                      <w:sz w:val="12"/>
                    </w:rPr>
                    <w:t> </w:t>
                  </w:r>
                  <w:r>
                    <w:rPr>
                      <w:rFonts w:ascii="Arial" w:hAnsi="Arial"/>
                      <w:sz w:val="12"/>
                    </w:rPr>
                    <w:t>Página</w:t>
                  </w:r>
                  <w:r>
                    <w:rPr>
                      <w:rFonts w:ascii="Arial" w:hAnsi="Arial"/>
                      <w:spacing w:val="-3"/>
                      <w:sz w:val="12"/>
                    </w:rPr>
                    <w:t> </w:t>
                  </w:r>
                  <w:r>
                    <w:rPr>
                      <w:rFonts w:ascii="Arial" w:hAnsi="Arial"/>
                      <w:sz w:val="12"/>
                    </w:rPr>
                    <w:t>1</w:t>
                  </w:r>
                  <w:r>
                    <w:rPr>
                      <w:rFonts w:ascii="Arial" w:hAnsi="Arial"/>
                      <w:spacing w:val="-3"/>
                      <w:sz w:val="12"/>
                    </w:rPr>
                    <w:t> </w:t>
                  </w:r>
                  <w:r>
                    <w:rPr>
                      <w:rFonts w:ascii="Arial" w:hAnsi="Arial"/>
                      <w:sz w:val="12"/>
                    </w:rPr>
                    <w:t>de</w:t>
                  </w:r>
                  <w:r>
                    <w:rPr>
                      <w:rFonts w:ascii="Arial" w:hAnsi="Arial"/>
                      <w:spacing w:val="-3"/>
                      <w:sz w:val="12"/>
                    </w:rPr>
                    <w:t> </w:t>
                  </w:r>
                  <w:r>
                    <w:rPr>
                      <w:rFonts w:ascii="Arial" w:hAnsi="Arial"/>
                      <w:sz w:val="12"/>
                    </w:rPr>
                    <w:t>6</w:t>
                  </w:r>
                </w:p>
              </w:txbxContent>
            </v:textbox>
            <w10:wrap type="none"/>
          </v:shape>
        </w:pict>
      </w:r>
      <w:r>
        <w:rPr/>
        <w:t>administracións públicas e para cada un dos seus subsectores para o período 2016-2018, e o límite de gasto non financieiro do orzamento do Estado para o ano 2016.</w:t>
      </w:r>
    </w:p>
    <w:p>
      <w:pPr>
        <w:pStyle w:val="BodyText"/>
      </w:pPr>
    </w:p>
    <w:p>
      <w:pPr>
        <w:pStyle w:val="Heading1"/>
        <w:numPr>
          <w:ilvl w:val="0"/>
          <w:numId w:val="1"/>
        </w:numPr>
        <w:tabs>
          <w:tab w:pos="1562" w:val="left" w:leader="none"/>
        </w:tabs>
        <w:spacing w:line="240" w:lineRule="auto" w:before="0" w:after="0"/>
        <w:ind w:left="1561" w:right="0" w:hanging="297"/>
        <w:jc w:val="left"/>
      </w:pPr>
      <w:r>
        <w:rPr/>
        <w:t>LEXISLACIÓN</w:t>
      </w:r>
      <w:r>
        <w:rPr>
          <w:spacing w:val="-14"/>
        </w:rPr>
        <w:t> </w:t>
      </w:r>
      <w:r>
        <w:rPr/>
        <w:t>APLICABLE:</w:t>
      </w:r>
    </w:p>
    <w:p>
      <w:pPr>
        <w:pStyle w:val="BodyText"/>
        <w:spacing w:before="10"/>
        <w:rPr>
          <w:b/>
          <w:sz w:val="21"/>
        </w:rPr>
      </w:pPr>
    </w:p>
    <w:p>
      <w:pPr>
        <w:pStyle w:val="ListParagraph"/>
        <w:numPr>
          <w:ilvl w:val="0"/>
          <w:numId w:val="2"/>
        </w:numPr>
        <w:tabs>
          <w:tab w:pos="1983" w:val="left" w:leader="none"/>
          <w:tab w:pos="1984" w:val="left" w:leader="none"/>
        </w:tabs>
        <w:spacing w:line="240" w:lineRule="auto" w:before="0" w:after="0"/>
        <w:ind w:left="1984" w:right="0" w:hanging="360"/>
        <w:jc w:val="left"/>
        <w:rPr>
          <w:sz w:val="22"/>
        </w:rPr>
      </w:pPr>
      <w:r>
        <w:rPr>
          <w:sz w:val="22"/>
        </w:rPr>
        <w:t>Lei 7/1985, do 2 de abril, reguladora das Bases do Réxime Local (LBRL, en</w:t>
      </w:r>
      <w:r>
        <w:rPr>
          <w:spacing w:val="-17"/>
          <w:sz w:val="22"/>
        </w:rPr>
        <w:t> </w:t>
      </w:r>
      <w:r>
        <w:rPr>
          <w:sz w:val="22"/>
        </w:rPr>
        <w:t>diante)</w:t>
      </w:r>
    </w:p>
    <w:p>
      <w:pPr>
        <w:pStyle w:val="ListParagraph"/>
        <w:numPr>
          <w:ilvl w:val="0"/>
          <w:numId w:val="2"/>
        </w:numPr>
        <w:tabs>
          <w:tab w:pos="1983" w:val="left" w:leader="none"/>
          <w:tab w:pos="1984" w:val="left" w:leader="none"/>
        </w:tabs>
        <w:spacing w:line="242" w:lineRule="auto" w:before="1" w:after="0"/>
        <w:ind w:left="1984" w:right="1699" w:hanging="360"/>
        <w:jc w:val="left"/>
        <w:rPr>
          <w:sz w:val="22"/>
        </w:rPr>
      </w:pPr>
      <w:r>
        <w:rPr>
          <w:spacing w:val="-4"/>
          <w:sz w:val="22"/>
        </w:rPr>
        <w:t>Texto </w:t>
      </w:r>
      <w:r>
        <w:rPr>
          <w:sz w:val="22"/>
        </w:rPr>
        <w:t>refundido de disposicións vixentes en materia de réxime local, aprobado por Real decreto lexislativo 781/1986, do 18 de abril (TRRL, en</w:t>
      </w:r>
      <w:r>
        <w:rPr>
          <w:spacing w:val="-12"/>
          <w:sz w:val="22"/>
        </w:rPr>
        <w:t> </w:t>
      </w:r>
      <w:r>
        <w:rPr>
          <w:sz w:val="22"/>
        </w:rPr>
        <w:t>diante)</w:t>
      </w:r>
    </w:p>
    <w:p>
      <w:pPr>
        <w:pStyle w:val="ListParagraph"/>
        <w:numPr>
          <w:ilvl w:val="0"/>
          <w:numId w:val="2"/>
        </w:numPr>
        <w:tabs>
          <w:tab w:pos="1984" w:val="left" w:leader="none"/>
        </w:tabs>
        <w:spacing w:line="242" w:lineRule="auto" w:before="0" w:after="0"/>
        <w:ind w:left="1984" w:right="1698" w:hanging="360"/>
        <w:jc w:val="both"/>
        <w:rPr>
          <w:sz w:val="22"/>
        </w:rPr>
      </w:pPr>
      <w:r>
        <w:rPr>
          <w:spacing w:val="-4"/>
          <w:sz w:val="22"/>
        </w:rPr>
        <w:t>Texto </w:t>
      </w:r>
      <w:r>
        <w:rPr>
          <w:sz w:val="22"/>
        </w:rPr>
        <w:t>refundido da lei reguladora das facendas locais, aprobado por Real decreto lexislativo 2/2004, do 5 de marzo (TRLRL, en diante), especialmente os artigos 162 a 171.</w:t>
      </w:r>
    </w:p>
    <w:p>
      <w:pPr>
        <w:pStyle w:val="ListParagraph"/>
        <w:numPr>
          <w:ilvl w:val="0"/>
          <w:numId w:val="2"/>
        </w:numPr>
        <w:tabs>
          <w:tab w:pos="1983" w:val="left" w:leader="none"/>
          <w:tab w:pos="1984" w:val="left" w:leader="none"/>
        </w:tabs>
        <w:spacing w:line="250" w:lineRule="exact" w:before="0" w:after="0"/>
        <w:ind w:left="1984" w:right="0" w:hanging="360"/>
        <w:jc w:val="left"/>
        <w:rPr>
          <w:sz w:val="22"/>
        </w:rPr>
      </w:pPr>
      <w:r>
        <w:rPr>
          <w:sz w:val="22"/>
        </w:rPr>
        <w:t>Real Decreto 500/1990, do 20 de abril, artigos 2 a</w:t>
      </w:r>
      <w:r>
        <w:rPr>
          <w:spacing w:val="-9"/>
          <w:sz w:val="22"/>
        </w:rPr>
        <w:t> </w:t>
      </w:r>
      <w:r>
        <w:rPr>
          <w:sz w:val="22"/>
        </w:rPr>
        <w:t>23.</w:t>
      </w:r>
    </w:p>
    <w:p>
      <w:pPr>
        <w:pStyle w:val="ListParagraph"/>
        <w:numPr>
          <w:ilvl w:val="0"/>
          <w:numId w:val="2"/>
        </w:numPr>
        <w:tabs>
          <w:tab w:pos="1983" w:val="left" w:leader="none"/>
          <w:tab w:pos="1984" w:val="left" w:leader="none"/>
        </w:tabs>
        <w:spacing w:line="240" w:lineRule="auto" w:before="0" w:after="0"/>
        <w:ind w:left="1984" w:right="0" w:hanging="360"/>
        <w:jc w:val="left"/>
        <w:rPr>
          <w:sz w:val="22"/>
        </w:rPr>
      </w:pPr>
      <w:r>
        <w:rPr>
          <w:sz w:val="22"/>
        </w:rPr>
        <w:t>Lei orgánica 2/2012, de 27 de abril, de estabilidade orzamentaria (LOEO, en</w:t>
      </w:r>
      <w:r>
        <w:rPr>
          <w:spacing w:val="-15"/>
          <w:sz w:val="22"/>
        </w:rPr>
        <w:t> </w:t>
      </w:r>
      <w:r>
        <w:rPr>
          <w:sz w:val="22"/>
        </w:rPr>
        <w:t>diante).</w:t>
      </w:r>
    </w:p>
    <w:p>
      <w:pPr>
        <w:pStyle w:val="ListParagraph"/>
        <w:numPr>
          <w:ilvl w:val="0"/>
          <w:numId w:val="2"/>
        </w:numPr>
        <w:tabs>
          <w:tab w:pos="1983" w:val="left" w:leader="none"/>
          <w:tab w:pos="1984" w:val="left" w:leader="none"/>
        </w:tabs>
        <w:spacing w:line="240" w:lineRule="auto" w:before="0" w:after="0"/>
        <w:ind w:left="1984" w:right="1708" w:hanging="360"/>
        <w:jc w:val="left"/>
        <w:rPr>
          <w:sz w:val="22"/>
        </w:rPr>
      </w:pPr>
      <w:r>
        <w:rPr>
          <w:spacing w:val="-4"/>
          <w:sz w:val="22"/>
        </w:rPr>
        <w:t>Texto </w:t>
      </w:r>
      <w:r>
        <w:rPr>
          <w:sz w:val="22"/>
        </w:rPr>
        <w:t>refundido da lei xeral de estabilidade orzamentaria, aprobado polo Real decreto lexislativo</w:t>
      </w:r>
      <w:r>
        <w:rPr>
          <w:spacing w:val="-3"/>
          <w:sz w:val="22"/>
        </w:rPr>
        <w:t> </w:t>
      </w:r>
      <w:r>
        <w:rPr>
          <w:sz w:val="22"/>
        </w:rPr>
        <w:t>2/2007.</w:t>
      </w:r>
    </w:p>
    <w:p>
      <w:pPr>
        <w:pStyle w:val="ListParagraph"/>
        <w:numPr>
          <w:ilvl w:val="0"/>
          <w:numId w:val="2"/>
        </w:numPr>
        <w:tabs>
          <w:tab w:pos="1983" w:val="left" w:leader="none"/>
          <w:tab w:pos="1984" w:val="left" w:leader="none"/>
        </w:tabs>
        <w:spacing w:line="240" w:lineRule="auto" w:before="1" w:after="0"/>
        <w:ind w:left="1984" w:right="1700" w:hanging="360"/>
        <w:jc w:val="left"/>
        <w:rPr>
          <w:sz w:val="22"/>
        </w:rPr>
      </w:pPr>
      <w:r>
        <w:rPr>
          <w:sz w:val="22"/>
        </w:rPr>
        <w:t>Real decreto 1463/2007, do 2 de novembro, de desenvolvemento da Lei xeral de estabilidade orzamentaria (RDEO, en</w:t>
      </w:r>
      <w:r>
        <w:rPr>
          <w:spacing w:val="-1"/>
          <w:sz w:val="22"/>
        </w:rPr>
        <w:t> </w:t>
      </w:r>
      <w:r>
        <w:rPr>
          <w:sz w:val="22"/>
        </w:rPr>
        <w:t>diante)</w:t>
      </w:r>
    </w:p>
    <w:p>
      <w:pPr>
        <w:pStyle w:val="ListParagraph"/>
        <w:numPr>
          <w:ilvl w:val="0"/>
          <w:numId w:val="2"/>
        </w:numPr>
        <w:tabs>
          <w:tab w:pos="1983" w:val="left" w:leader="none"/>
          <w:tab w:pos="1984" w:val="left" w:leader="none"/>
        </w:tabs>
        <w:spacing w:line="240" w:lineRule="auto" w:before="2" w:after="0"/>
        <w:ind w:left="1984" w:right="0" w:hanging="360"/>
        <w:jc w:val="left"/>
        <w:rPr>
          <w:sz w:val="22"/>
        </w:rPr>
      </w:pPr>
      <w:r>
        <w:rPr>
          <w:sz w:val="22"/>
        </w:rPr>
        <w:t>Lei 5/1997, de 22 de xullo, de administración local de Galicia (LALGA, en</w:t>
      </w:r>
      <w:r>
        <w:rPr>
          <w:spacing w:val="-14"/>
          <w:sz w:val="22"/>
        </w:rPr>
        <w:t> </w:t>
      </w:r>
      <w:r>
        <w:rPr>
          <w:sz w:val="22"/>
        </w:rPr>
        <w:t>diante)</w:t>
      </w:r>
    </w:p>
    <w:p>
      <w:pPr>
        <w:pStyle w:val="ListParagraph"/>
        <w:numPr>
          <w:ilvl w:val="0"/>
          <w:numId w:val="2"/>
        </w:numPr>
        <w:tabs>
          <w:tab w:pos="1983" w:val="left" w:leader="none"/>
          <w:tab w:pos="1984" w:val="left" w:leader="none"/>
        </w:tabs>
        <w:spacing w:line="242" w:lineRule="auto" w:before="0" w:after="0"/>
        <w:ind w:left="1984" w:right="1702" w:hanging="360"/>
        <w:jc w:val="left"/>
        <w:rPr>
          <w:sz w:val="22"/>
        </w:rPr>
      </w:pPr>
      <w:r>
        <w:rPr>
          <w:sz w:val="22"/>
        </w:rPr>
        <w:t>Real decreto lexislativo 5/2015, do 30 de outubro, polo que se aproba o </w:t>
      </w:r>
      <w:r>
        <w:rPr>
          <w:spacing w:val="-4"/>
          <w:sz w:val="22"/>
        </w:rPr>
        <w:t>Texto </w:t>
      </w:r>
      <w:r>
        <w:rPr>
          <w:sz w:val="22"/>
        </w:rPr>
        <w:t>refundido da lei do estatuto básico do empregado público </w:t>
      </w:r>
      <w:r>
        <w:rPr>
          <w:spacing w:val="-4"/>
          <w:sz w:val="22"/>
        </w:rPr>
        <w:t>(TRLEBEP, </w:t>
      </w:r>
      <w:r>
        <w:rPr>
          <w:sz w:val="22"/>
        </w:rPr>
        <w:t>en</w:t>
      </w:r>
      <w:r>
        <w:rPr>
          <w:spacing w:val="-3"/>
          <w:sz w:val="22"/>
        </w:rPr>
        <w:t> </w:t>
      </w:r>
      <w:r>
        <w:rPr>
          <w:sz w:val="22"/>
        </w:rPr>
        <w:t>diante)</w:t>
      </w:r>
    </w:p>
    <w:p>
      <w:pPr>
        <w:pStyle w:val="BodyText"/>
        <w:spacing w:before="8"/>
        <w:rPr>
          <w:sz w:val="17"/>
        </w:rPr>
      </w:pPr>
      <w:r>
        <w:rPr/>
        <w:pict>
          <v:line style="position:absolute;mso-position-horizontal-relative:page;mso-position-vertical-relative:paragraph;z-index:1048;mso-wrap-distance-left:0;mso-wrap-distance-right:0" from="85.099998pt,12.42316pt" to="510.199998pt,12.42316pt" stroked="true" strokeweight=".5pt" strokecolor="#000000">
            <v:stroke dashstyle="solid"/>
            <w10:wrap type="topAndBottom"/>
          </v:line>
        </w:pict>
      </w:r>
    </w:p>
    <w:p>
      <w:pPr>
        <w:pStyle w:val="Heading1"/>
        <w:spacing w:before="71"/>
        <w:ind w:right="3137"/>
        <w:jc w:val="center"/>
      </w:pPr>
      <w:r>
        <w:rPr/>
        <w:t>Concello de Ortigueira</w:t>
      </w:r>
    </w:p>
    <w:p>
      <w:pPr>
        <w:spacing w:before="121"/>
        <w:ind w:left="2709" w:right="3137" w:firstLine="0"/>
        <w:jc w:val="center"/>
        <w:rPr>
          <w:sz w:val="16"/>
        </w:rPr>
      </w:pPr>
      <w:r>
        <w:rPr>
          <w:sz w:val="16"/>
        </w:rPr>
        <w:t>Plaza de Isabel II, s/n, Ortigueira. 15330 A Coruña. Tfno. 981400000. Fax: 981402536</w:t>
      </w:r>
    </w:p>
    <w:p>
      <w:pPr>
        <w:spacing w:after="0"/>
        <w:jc w:val="center"/>
        <w:rPr>
          <w:sz w:val="16"/>
        </w:rPr>
        <w:sectPr>
          <w:headerReference w:type="default" r:id="rId5"/>
          <w:type w:val="continuous"/>
          <w:pgSz w:w="11900" w:h="16840"/>
          <w:pgMar w:header="710" w:top="2120" w:bottom="0" w:left="440" w:right="0"/>
        </w:sectPr>
      </w:pPr>
    </w:p>
    <w:p>
      <w:pPr>
        <w:pStyle w:val="BodyText"/>
        <w:spacing w:before="2"/>
        <w:rPr>
          <w:sz w:val="9"/>
        </w:rPr>
      </w:pPr>
    </w:p>
    <w:p>
      <w:pPr>
        <w:pStyle w:val="ListParagraph"/>
        <w:numPr>
          <w:ilvl w:val="0"/>
          <w:numId w:val="2"/>
        </w:numPr>
        <w:tabs>
          <w:tab w:pos="1983" w:val="left" w:leader="none"/>
          <w:tab w:pos="1984" w:val="left" w:leader="none"/>
        </w:tabs>
        <w:spacing w:line="240" w:lineRule="auto" w:before="98" w:after="0"/>
        <w:ind w:left="1984" w:right="1704" w:hanging="360"/>
        <w:jc w:val="left"/>
        <w:rPr>
          <w:sz w:val="22"/>
        </w:rPr>
      </w:pPr>
      <w:r>
        <w:rPr>
          <w:sz w:val="22"/>
        </w:rPr>
        <w:t>Lei 48/2015, do 29 de outubro, de orzamentos xerais do Estado para 2016 (LOXE16, en diante).</w:t>
      </w:r>
    </w:p>
    <w:p>
      <w:pPr>
        <w:pStyle w:val="ListParagraph"/>
        <w:numPr>
          <w:ilvl w:val="0"/>
          <w:numId w:val="2"/>
        </w:numPr>
        <w:tabs>
          <w:tab w:pos="1983" w:val="left" w:leader="none"/>
          <w:tab w:pos="1984" w:val="left" w:leader="none"/>
        </w:tabs>
        <w:spacing w:line="240" w:lineRule="auto" w:before="1" w:after="0"/>
        <w:ind w:left="1984" w:right="1700" w:hanging="360"/>
        <w:jc w:val="left"/>
        <w:rPr>
          <w:sz w:val="22"/>
        </w:rPr>
      </w:pPr>
      <w:r>
        <w:rPr>
          <w:sz w:val="22"/>
        </w:rPr>
        <w:t>Orde EHA/3565/2008, pola que se aproba a estructura dos ornamentos das entidades locais.</w:t>
      </w:r>
    </w:p>
    <w:p>
      <w:pPr>
        <w:pStyle w:val="BodyText"/>
        <w:rPr>
          <w:sz w:val="24"/>
        </w:rPr>
      </w:pPr>
    </w:p>
    <w:p>
      <w:pPr>
        <w:pStyle w:val="BodyText"/>
        <w:spacing w:before="3"/>
        <w:rPr>
          <w:sz w:val="20"/>
        </w:rPr>
      </w:pPr>
    </w:p>
    <w:p>
      <w:pPr>
        <w:pStyle w:val="Heading1"/>
        <w:numPr>
          <w:ilvl w:val="0"/>
          <w:numId w:val="1"/>
        </w:numPr>
        <w:tabs>
          <w:tab w:pos="1648" w:val="left" w:leader="none"/>
        </w:tabs>
        <w:spacing w:line="240" w:lineRule="auto" w:before="0" w:after="0"/>
        <w:ind w:left="1647" w:right="0" w:hanging="383"/>
        <w:jc w:val="both"/>
        <w:rPr>
          <w:b w:val="0"/>
        </w:rPr>
      </w:pPr>
      <w:r>
        <w:rPr/>
        <w:t>CONSIDERACIÓNS</w:t>
      </w:r>
      <w:r>
        <w:rPr>
          <w:b w:val="0"/>
        </w:rPr>
        <w:t>:</w:t>
      </w:r>
    </w:p>
    <w:p>
      <w:pPr>
        <w:pStyle w:val="BodyText"/>
      </w:pPr>
    </w:p>
    <w:p>
      <w:pPr>
        <w:spacing w:before="0"/>
        <w:ind w:left="1264" w:right="0" w:firstLine="0"/>
        <w:jc w:val="both"/>
        <w:rPr>
          <w:b/>
          <w:sz w:val="22"/>
        </w:rPr>
      </w:pPr>
      <w:r>
        <w:rPr>
          <w:b/>
          <w:sz w:val="22"/>
          <w:u w:val="single"/>
        </w:rPr>
        <w:t>Primeira</w:t>
      </w:r>
      <w:r>
        <w:rPr>
          <w:b/>
          <w:sz w:val="22"/>
        </w:rPr>
        <w:t>.- A necesidade do presente Informe con carácter independente.</w:t>
      </w:r>
    </w:p>
    <w:p>
      <w:pPr>
        <w:pStyle w:val="BodyText"/>
        <w:rPr>
          <w:b/>
        </w:rPr>
      </w:pPr>
    </w:p>
    <w:p>
      <w:pPr>
        <w:spacing w:before="0"/>
        <w:ind w:left="1263" w:right="1715" w:firstLine="0"/>
        <w:jc w:val="both"/>
        <w:rPr>
          <w:i/>
          <w:sz w:val="22"/>
        </w:rPr>
      </w:pPr>
      <w:r>
        <w:rPr/>
        <w:pict>
          <v:shape style="position:absolute;margin-left:535.991211pt;margin-top:-3.287692pt;width:32.9pt;height:247.2pt;mso-position-horizontal-relative:page;mso-position-vertical-relative:paragraph;z-index:1216" type="#_x0000_t202" filled="false" stroked="false">
            <v:textbox inset="0,0,0,0" style="layout-flow:vertical;mso-layout-flow-alt:bottom-to-top">
              <w:txbxContent>
                <w:p>
                  <w:pPr>
                    <w:spacing w:line="417" w:lineRule="exact" w:before="20"/>
                    <w:ind w:left="20" w:right="0" w:firstLine="0"/>
                    <w:jc w:val="left"/>
                    <w:rPr>
                      <w:rFonts w:ascii="Tahoma"/>
                      <w:sz w:val="36"/>
                    </w:rPr>
                  </w:pPr>
                  <w:r>
                    <w:rPr>
                      <w:rFonts w:ascii="Tahoma"/>
                      <w:sz w:val="36"/>
                    </w:rPr>
                    <w:t>INFORMES DE INTERVENCION</w:t>
                  </w:r>
                </w:p>
                <w:p>
                  <w:pPr>
                    <w:spacing w:line="200" w:lineRule="exact" w:before="0"/>
                    <w:ind w:left="40" w:right="0" w:firstLine="0"/>
                    <w:jc w:val="left"/>
                    <w:rPr>
                      <w:rFonts w:ascii="Tahoma" w:hAnsi="Tahoma"/>
                      <w:sz w:val="18"/>
                    </w:rPr>
                  </w:pPr>
                  <w:r>
                    <w:rPr>
                      <w:rFonts w:ascii="Tahoma" w:hAnsi="Tahoma"/>
                      <w:sz w:val="18"/>
                    </w:rPr>
                    <w:t>Número: 2017-0002 Fecha: 13/01/2017</w:t>
                  </w:r>
                </w:p>
              </w:txbxContent>
            </v:textbox>
            <w10:wrap type="none"/>
          </v:shape>
        </w:pict>
      </w:r>
      <w:r>
        <w:rPr>
          <w:sz w:val="22"/>
        </w:rPr>
        <w:t>Segundo o disposto no artigo 4 do RDEO “</w:t>
      </w:r>
      <w:r>
        <w:rPr>
          <w:i/>
          <w:sz w:val="22"/>
        </w:rPr>
        <w:t>1. Las entidades locales aprobarán [...] sus </w:t>
      </w:r>
      <w:r>
        <w:rPr>
          <w:i/>
          <w:sz w:val="22"/>
        </w:rPr>
        <w:t>presupuestos [...] ajustándose al principio de estabilidad definido en los artículos 1 y 3 del artículo 19 de la Ley General de Estabilidad Presupuestaria”.</w:t>
      </w:r>
    </w:p>
    <w:p>
      <w:pPr>
        <w:pStyle w:val="BodyText"/>
        <w:rPr>
          <w:i/>
        </w:rPr>
      </w:pPr>
    </w:p>
    <w:p>
      <w:pPr>
        <w:spacing w:before="0"/>
        <w:ind w:left="1263" w:right="1717" w:firstLine="0"/>
        <w:jc w:val="both"/>
        <w:rPr>
          <w:i/>
          <w:sz w:val="22"/>
        </w:rPr>
      </w:pPr>
      <w:r>
        <w:rPr>
          <w:sz w:val="22"/>
        </w:rPr>
        <w:t>Por outro lado, no apartado 2 do seu artigo 16 dispón que </w:t>
      </w:r>
      <w:r>
        <w:rPr>
          <w:i/>
          <w:sz w:val="22"/>
        </w:rPr>
        <w:t>“[...] la intervención local elevará al </w:t>
      </w:r>
      <w:r>
        <w:rPr>
          <w:i/>
          <w:sz w:val="22"/>
        </w:rPr>
        <w:t>Pleno un informe sobre el cumplimiento del objetivo de estabilidad [...].</w:t>
      </w:r>
    </w:p>
    <w:p>
      <w:pPr>
        <w:pStyle w:val="BodyText"/>
        <w:spacing w:before="11"/>
        <w:rPr>
          <w:i/>
          <w:sz w:val="21"/>
        </w:rPr>
      </w:pPr>
    </w:p>
    <w:p>
      <w:pPr>
        <w:spacing w:before="0"/>
        <w:ind w:left="1263" w:right="1721" w:firstLine="0"/>
        <w:jc w:val="both"/>
        <w:rPr>
          <w:sz w:val="22"/>
        </w:rPr>
      </w:pPr>
      <w:r>
        <w:rPr>
          <w:i/>
          <w:sz w:val="22"/>
        </w:rPr>
        <w:t>El informe se emitirá con carácter independiente y se incorporará a los previstos en [...] texto </w:t>
      </w:r>
      <w:r>
        <w:rPr>
          <w:i/>
          <w:sz w:val="22"/>
        </w:rPr>
        <w:t>refundido de la Ley reguladora de las Haciendas Locales, referidos, respectivamente, a la aprobación del presupuesto general, a sus modificaciones y </w:t>
      </w:r>
      <w:r>
        <w:rPr>
          <w:b/>
          <w:i/>
          <w:sz w:val="22"/>
        </w:rPr>
        <w:t>a su liquidación</w:t>
      </w:r>
      <w:r>
        <w:rPr>
          <w:sz w:val="22"/>
        </w:rPr>
        <w:t>”.</w:t>
      </w:r>
    </w:p>
    <w:p>
      <w:pPr>
        <w:pStyle w:val="BodyText"/>
      </w:pPr>
    </w:p>
    <w:p>
      <w:pPr>
        <w:pStyle w:val="BodyText"/>
        <w:ind w:left="1263"/>
        <w:jc w:val="both"/>
      </w:pPr>
      <w:r>
        <w:rPr/>
        <w:t>O presente informe emítese en base a este artigo 16.2.</w:t>
      </w:r>
    </w:p>
    <w:p>
      <w:pPr>
        <w:pStyle w:val="BodyText"/>
      </w:pPr>
    </w:p>
    <w:p>
      <w:pPr>
        <w:pStyle w:val="Heading1"/>
        <w:ind w:left="1263" w:right="1698"/>
        <w:jc w:val="both"/>
      </w:pPr>
      <w:r>
        <w:rPr>
          <w:u w:val="single"/>
        </w:rPr>
        <w:t>Segunda</w:t>
      </w:r>
      <w:r>
        <w:rPr/>
        <w:t>: A</w:t>
      </w:r>
      <w:r>
        <w:rPr>
          <w:spacing w:val="-41"/>
        </w:rPr>
        <w:t> </w:t>
      </w:r>
      <w:r>
        <w:rPr/>
        <w:t>estabilidade orzamentaria nas Corporacións Locais; capacidade/necesidade de financiamento.</w:t>
      </w:r>
    </w:p>
    <w:p>
      <w:pPr>
        <w:pStyle w:val="BodyText"/>
        <w:spacing w:before="1"/>
        <w:rPr>
          <w:b/>
        </w:rPr>
      </w:pPr>
    </w:p>
    <w:p>
      <w:pPr>
        <w:spacing w:before="0"/>
        <w:ind w:left="1263" w:right="1722" w:firstLine="0"/>
        <w:jc w:val="both"/>
        <w:rPr>
          <w:sz w:val="22"/>
        </w:rPr>
      </w:pPr>
      <w:r>
        <w:rPr/>
        <w:drawing>
          <wp:anchor distT="0" distB="0" distL="0" distR="0" allowOverlap="1" layoutInCell="1" locked="0" behindDoc="0" simplePos="0" relativeHeight="1192">
            <wp:simplePos x="0" y="0"/>
            <wp:positionH relativeFrom="page">
              <wp:posOffset>6871850</wp:posOffset>
            </wp:positionH>
            <wp:positionV relativeFrom="paragraph">
              <wp:posOffset>653663</wp:posOffset>
            </wp:positionV>
            <wp:extent cx="328070" cy="3911600"/>
            <wp:effectExtent l="0" t="0" r="0" b="0"/>
            <wp:wrapNone/>
            <wp:docPr id="9" name="image3.png" descr=""/>
            <wp:cNvGraphicFramePr>
              <a:graphicFrameLocks noChangeAspect="1"/>
            </wp:cNvGraphicFramePr>
            <a:graphic>
              <a:graphicData uri="http://schemas.openxmlformats.org/drawingml/2006/picture">
                <pic:pic>
                  <pic:nvPicPr>
                    <pic:cNvPr id="10" name="image3.png"/>
                    <pic:cNvPicPr/>
                  </pic:nvPicPr>
                  <pic:blipFill>
                    <a:blip r:embed="rId7" cstate="print"/>
                    <a:stretch>
                      <a:fillRect/>
                    </a:stretch>
                  </pic:blipFill>
                  <pic:spPr>
                    <a:xfrm>
                      <a:off x="0" y="0"/>
                      <a:ext cx="328070" cy="3911600"/>
                    </a:xfrm>
                    <a:prstGeom prst="rect">
                      <a:avLst/>
                    </a:prstGeom>
                  </pic:spPr>
                </pic:pic>
              </a:graphicData>
            </a:graphic>
          </wp:anchor>
        </w:drawing>
      </w:r>
      <w:r>
        <w:rPr>
          <w:sz w:val="22"/>
        </w:rPr>
        <w:t>A LOEO establece no seu artigo 3 que “</w:t>
      </w:r>
      <w:r>
        <w:rPr>
          <w:i/>
          <w:sz w:val="22"/>
        </w:rPr>
        <w:t>1. La elaboración, aprobación y ejecución de los </w:t>
      </w:r>
      <w:r>
        <w:rPr>
          <w:i/>
          <w:sz w:val="22"/>
        </w:rPr>
        <w:t>Presupuestos y demás actuaciones que afecten a los gastos o ingresos de los distintos sujetos comprendidos en el ámbito de aplicación de esta Ley se realizará en un marco de estabilidad presupuestaria, coherente con la normativa europea.</w:t>
      </w:r>
      <w:r>
        <w:rPr>
          <w:sz w:val="22"/>
        </w:rPr>
        <w:t>”</w:t>
      </w:r>
    </w:p>
    <w:p>
      <w:pPr>
        <w:pStyle w:val="BodyText"/>
        <w:spacing w:before="10"/>
        <w:rPr>
          <w:sz w:val="21"/>
        </w:rPr>
      </w:pPr>
    </w:p>
    <w:p>
      <w:pPr>
        <w:spacing w:before="1"/>
        <w:ind w:left="1263" w:right="1721" w:firstLine="0"/>
        <w:jc w:val="both"/>
        <w:rPr>
          <w:sz w:val="22"/>
        </w:rPr>
      </w:pPr>
      <w:r>
        <w:rPr/>
        <w:pict>
          <v:shape style="position:absolute;margin-left:567.568359pt;margin-top:18.553492pt;width:14.75pt;height:279.8pt;mso-position-horizontal-relative:page;mso-position-vertical-relative:paragraph;z-index:1240" type="#_x0000_t202" filled="false" stroked="false">
            <v:textbox inset="0,0,0,0" style="layout-flow:vertical;mso-layout-flow-alt:bottom-to-top">
              <w:txbxContent>
                <w:p>
                  <w:pPr>
                    <w:spacing w:line="208" w:lineRule="auto" w:before="30"/>
                    <w:ind w:left="20" w:right="0" w:firstLine="0"/>
                    <w:jc w:val="left"/>
                    <w:rPr>
                      <w:rFonts w:ascii="Arial" w:hAnsi="Arial"/>
                      <w:sz w:val="12"/>
                    </w:rPr>
                  </w:pPr>
                  <w:r>
                    <w:rPr>
                      <w:rFonts w:ascii="Arial" w:hAnsi="Arial"/>
                      <w:sz w:val="12"/>
                    </w:rPr>
                    <w:t>Cód.</w:t>
                  </w:r>
                  <w:r>
                    <w:rPr>
                      <w:rFonts w:ascii="Arial" w:hAnsi="Arial"/>
                      <w:spacing w:val="-15"/>
                      <w:sz w:val="12"/>
                    </w:rPr>
                    <w:t> </w:t>
                  </w:r>
                  <w:r>
                    <w:rPr>
                      <w:rFonts w:ascii="Arial" w:hAnsi="Arial"/>
                      <w:sz w:val="12"/>
                    </w:rPr>
                    <w:t>Validación:</w:t>
                  </w:r>
                  <w:r>
                    <w:rPr>
                      <w:rFonts w:ascii="Arial" w:hAnsi="Arial"/>
                      <w:spacing w:val="-15"/>
                      <w:sz w:val="12"/>
                    </w:rPr>
                    <w:t> </w:t>
                  </w:r>
                  <w:r>
                    <w:rPr>
                      <w:rFonts w:ascii="Arial" w:hAnsi="Arial"/>
                      <w:sz w:val="12"/>
                    </w:rPr>
                    <w:t>3LDMQ24NCGAA6DTPYZDWAMMPG</w:t>
                  </w:r>
                  <w:r>
                    <w:rPr>
                      <w:rFonts w:ascii="Arial" w:hAnsi="Arial"/>
                      <w:spacing w:val="-15"/>
                      <w:sz w:val="12"/>
                    </w:rPr>
                    <w:t> </w:t>
                  </w:r>
                  <w:r>
                    <w:rPr>
                      <w:rFonts w:ascii="Arial" w:hAnsi="Arial"/>
                      <w:sz w:val="12"/>
                    </w:rPr>
                    <w:t>|</w:t>
                  </w:r>
                  <w:r>
                    <w:rPr>
                      <w:rFonts w:ascii="Arial" w:hAnsi="Arial"/>
                      <w:spacing w:val="-15"/>
                      <w:sz w:val="12"/>
                    </w:rPr>
                    <w:t> </w:t>
                  </w:r>
                  <w:r>
                    <w:rPr>
                      <w:rFonts w:ascii="Arial" w:hAnsi="Arial"/>
                      <w:sz w:val="12"/>
                    </w:rPr>
                    <w:t>Verificación:</w:t>
                  </w:r>
                  <w:hyperlink r:id="rId8">
                    <w:r>
                      <w:rPr>
                        <w:rFonts w:ascii="Arial" w:hAnsi="Arial"/>
                        <w:spacing w:val="-15"/>
                        <w:sz w:val="12"/>
                      </w:rPr>
                      <w:t> </w:t>
                    </w:r>
                    <w:r>
                      <w:rPr>
                        <w:rFonts w:ascii="Arial" w:hAnsi="Arial"/>
                        <w:sz w:val="12"/>
                      </w:rPr>
                      <w:t>http://ortigueira.sedelectronica.es/</w:t>
                    </w:r>
                  </w:hyperlink>
                  <w:r>
                    <w:rPr>
                      <w:rFonts w:ascii="Arial" w:hAnsi="Arial"/>
                      <w:sz w:val="12"/>
                    </w:rPr>
                    <w:t> Documento</w:t>
                  </w:r>
                  <w:r>
                    <w:rPr>
                      <w:rFonts w:ascii="Arial" w:hAnsi="Arial"/>
                      <w:spacing w:val="-3"/>
                      <w:sz w:val="12"/>
                    </w:rPr>
                    <w:t> </w:t>
                  </w:r>
                  <w:r>
                    <w:rPr>
                      <w:rFonts w:ascii="Arial" w:hAnsi="Arial"/>
                      <w:sz w:val="12"/>
                    </w:rPr>
                    <w:t>firmado</w:t>
                  </w:r>
                  <w:r>
                    <w:rPr>
                      <w:rFonts w:ascii="Arial" w:hAnsi="Arial"/>
                      <w:spacing w:val="-3"/>
                      <w:sz w:val="12"/>
                    </w:rPr>
                    <w:t> </w:t>
                  </w:r>
                  <w:r>
                    <w:rPr>
                      <w:rFonts w:ascii="Arial" w:hAnsi="Arial"/>
                      <w:sz w:val="12"/>
                    </w:rPr>
                    <w:t>electrónicamente</w:t>
                  </w:r>
                  <w:r>
                    <w:rPr>
                      <w:rFonts w:ascii="Arial" w:hAnsi="Arial"/>
                      <w:spacing w:val="-3"/>
                      <w:sz w:val="12"/>
                    </w:rPr>
                    <w:t> </w:t>
                  </w:r>
                  <w:r>
                    <w:rPr>
                      <w:rFonts w:ascii="Arial" w:hAnsi="Arial"/>
                      <w:sz w:val="12"/>
                    </w:rPr>
                    <w:t>desde</w:t>
                  </w:r>
                  <w:r>
                    <w:rPr>
                      <w:rFonts w:ascii="Arial" w:hAnsi="Arial"/>
                      <w:spacing w:val="-3"/>
                      <w:sz w:val="12"/>
                    </w:rPr>
                    <w:t> </w:t>
                  </w:r>
                  <w:r>
                    <w:rPr>
                      <w:rFonts w:ascii="Arial" w:hAnsi="Arial"/>
                      <w:sz w:val="12"/>
                    </w:rPr>
                    <w:t>la</w:t>
                  </w:r>
                  <w:r>
                    <w:rPr>
                      <w:rFonts w:ascii="Arial" w:hAnsi="Arial"/>
                      <w:spacing w:val="-3"/>
                      <w:sz w:val="12"/>
                    </w:rPr>
                    <w:t> </w:t>
                  </w:r>
                  <w:r>
                    <w:rPr>
                      <w:rFonts w:ascii="Arial" w:hAnsi="Arial"/>
                      <w:sz w:val="12"/>
                    </w:rPr>
                    <w:t>plataforma</w:t>
                  </w:r>
                  <w:r>
                    <w:rPr>
                      <w:rFonts w:ascii="Arial" w:hAnsi="Arial"/>
                      <w:spacing w:val="-3"/>
                      <w:sz w:val="12"/>
                    </w:rPr>
                    <w:t> </w:t>
                  </w:r>
                  <w:r>
                    <w:rPr>
                      <w:rFonts w:ascii="Arial" w:hAnsi="Arial"/>
                      <w:sz w:val="12"/>
                    </w:rPr>
                    <w:t>esPublico</w:t>
                  </w:r>
                  <w:r>
                    <w:rPr>
                      <w:rFonts w:ascii="Arial" w:hAnsi="Arial"/>
                      <w:spacing w:val="-3"/>
                      <w:sz w:val="12"/>
                    </w:rPr>
                    <w:t> </w:t>
                  </w:r>
                  <w:r>
                    <w:rPr>
                      <w:rFonts w:ascii="Arial" w:hAnsi="Arial"/>
                      <w:sz w:val="12"/>
                    </w:rPr>
                    <w:t>Gestiona</w:t>
                  </w:r>
                  <w:r>
                    <w:rPr>
                      <w:rFonts w:ascii="Arial" w:hAnsi="Arial"/>
                      <w:spacing w:val="-3"/>
                      <w:sz w:val="12"/>
                    </w:rPr>
                    <w:t> </w:t>
                  </w:r>
                  <w:r>
                    <w:rPr>
                      <w:rFonts w:ascii="Arial" w:hAnsi="Arial"/>
                      <w:sz w:val="12"/>
                    </w:rPr>
                    <w:t>|</w:t>
                  </w:r>
                  <w:r>
                    <w:rPr>
                      <w:rFonts w:ascii="Arial" w:hAnsi="Arial"/>
                      <w:spacing w:val="-3"/>
                      <w:sz w:val="12"/>
                    </w:rPr>
                    <w:t> </w:t>
                  </w:r>
                  <w:r>
                    <w:rPr>
                      <w:rFonts w:ascii="Arial" w:hAnsi="Arial"/>
                      <w:sz w:val="12"/>
                    </w:rPr>
                    <w:t>Página</w:t>
                  </w:r>
                  <w:r>
                    <w:rPr>
                      <w:rFonts w:ascii="Arial" w:hAnsi="Arial"/>
                      <w:spacing w:val="-3"/>
                      <w:sz w:val="12"/>
                    </w:rPr>
                    <w:t> </w:t>
                  </w:r>
                  <w:r>
                    <w:rPr>
                      <w:rFonts w:ascii="Arial" w:hAnsi="Arial"/>
                      <w:sz w:val="12"/>
                    </w:rPr>
                    <w:t>2</w:t>
                  </w:r>
                  <w:r>
                    <w:rPr>
                      <w:rFonts w:ascii="Arial" w:hAnsi="Arial"/>
                      <w:spacing w:val="-3"/>
                      <w:sz w:val="12"/>
                    </w:rPr>
                    <w:t> </w:t>
                  </w:r>
                  <w:r>
                    <w:rPr>
                      <w:rFonts w:ascii="Arial" w:hAnsi="Arial"/>
                      <w:sz w:val="12"/>
                    </w:rPr>
                    <w:t>de</w:t>
                  </w:r>
                  <w:r>
                    <w:rPr>
                      <w:rFonts w:ascii="Arial" w:hAnsi="Arial"/>
                      <w:spacing w:val="-3"/>
                      <w:sz w:val="12"/>
                    </w:rPr>
                    <w:t> </w:t>
                  </w:r>
                  <w:r>
                    <w:rPr>
                      <w:rFonts w:ascii="Arial" w:hAnsi="Arial"/>
                      <w:sz w:val="12"/>
                    </w:rPr>
                    <w:t>6</w:t>
                  </w:r>
                </w:p>
              </w:txbxContent>
            </v:textbox>
            <w10:wrap type="none"/>
          </v:shape>
        </w:pict>
      </w:r>
      <w:r>
        <w:rPr>
          <w:sz w:val="22"/>
        </w:rPr>
        <w:t>No artigo 11 da dita LOEO dispónse que “</w:t>
      </w:r>
      <w:r>
        <w:rPr>
          <w:i/>
          <w:sz w:val="22"/>
        </w:rPr>
        <w:t>1. La elaboración, aprobación y ejecución de los </w:t>
      </w:r>
      <w:r>
        <w:rPr>
          <w:i/>
          <w:sz w:val="22"/>
        </w:rPr>
        <w:t>Presupuestos y demás actuaciones que afecten a los gastos o ingresos de las Administraciones Públicas y demás entidades que forman parte del sector público se someterá al principio de estabilidad presupuestaria.</w:t>
      </w:r>
      <w:r>
        <w:rPr>
          <w:sz w:val="22"/>
        </w:rPr>
        <w:t>”.</w:t>
      </w:r>
    </w:p>
    <w:p>
      <w:pPr>
        <w:pStyle w:val="BodyText"/>
      </w:pPr>
    </w:p>
    <w:p>
      <w:pPr>
        <w:spacing w:before="1"/>
        <w:ind w:left="1263" w:right="1694" w:firstLine="0"/>
        <w:jc w:val="both"/>
        <w:rPr>
          <w:sz w:val="22"/>
        </w:rPr>
      </w:pPr>
      <w:r>
        <w:rPr>
          <w:sz w:val="22"/>
        </w:rPr>
        <w:t>O apartado 2 do artigo 3 establece que “</w:t>
      </w:r>
      <w:r>
        <w:rPr>
          <w:i/>
          <w:sz w:val="22"/>
        </w:rPr>
        <w:t>2 Se entenderá por estabilidad presupuestaria de las </w:t>
      </w:r>
      <w:r>
        <w:rPr>
          <w:i/>
          <w:sz w:val="22"/>
        </w:rPr>
        <w:t>Administracions Públicas la situación de equilibrio o superávit estructural</w:t>
      </w:r>
      <w:r>
        <w:rPr>
          <w:sz w:val="22"/>
        </w:rPr>
        <w:t>”. En relación co anterior, o apartado 2 do artigo 11 establece que “</w:t>
      </w:r>
      <w:r>
        <w:rPr>
          <w:i/>
          <w:sz w:val="22"/>
        </w:rPr>
        <w:t>2. Ninguna Administración Pública podrá </w:t>
      </w:r>
      <w:r>
        <w:rPr>
          <w:i/>
          <w:sz w:val="22"/>
        </w:rPr>
        <w:t>incurrir en déficit estructural, definido como déficit ajustado del ciclo, neto de medidas excepcionales y temporales. […]</w:t>
      </w:r>
      <w:r>
        <w:rPr>
          <w:sz w:val="22"/>
        </w:rPr>
        <w:t>”</w:t>
      </w:r>
    </w:p>
    <w:p>
      <w:pPr>
        <w:pStyle w:val="BodyText"/>
      </w:pPr>
    </w:p>
    <w:p>
      <w:pPr>
        <w:pStyle w:val="BodyText"/>
        <w:ind w:left="1263" w:right="1699"/>
        <w:jc w:val="both"/>
      </w:pPr>
      <w:r>
        <w:rPr/>
        <w:t>No artigo 15.1 da dita Lei orgánica establécese que o Goberno do Estado fixará no primeiro semestre de cada ano os obxectivos de estabilidade orzamentaria, en térmos de capacidade ou necesidade de financiamento de acordo coa definición contida no Sistema Europeo de Contas Nacionais e Rexionais, e o obxectivo de débeda pública referidos aos tres exercicios seguintes, tanto para o conxunto das Administracións Públicas como para cada un dos subsectores. No apartado 6 establécese que as Cortes Generales se pronunciarán aprobando ou rexeitando os obxectivos propostos polo Goberno. Aprobado o obxectivo de estabilidade orzamentaria e de débeda pública polas Cortes Generales, a elaboración dos proxectos de Orzamento das</w:t>
      </w:r>
    </w:p>
    <w:p>
      <w:pPr>
        <w:pStyle w:val="BodyText"/>
        <w:spacing w:before="10"/>
        <w:rPr>
          <w:sz w:val="27"/>
        </w:rPr>
      </w:pPr>
      <w:r>
        <w:rPr/>
        <w:pict>
          <v:line style="position:absolute;mso-position-horizontal-relative:page;mso-position-vertical-relative:paragraph;z-index:1168;mso-wrap-distance-left:0;mso-wrap-distance-right:0" from="85.099998pt,18.231983pt" to="510.199998pt,18.231983pt" stroked="true" strokeweight=".5pt" strokecolor="#000000">
            <v:stroke dashstyle="solid"/>
            <w10:wrap type="topAndBottom"/>
          </v:line>
        </w:pict>
      </w:r>
    </w:p>
    <w:p>
      <w:pPr>
        <w:pStyle w:val="Heading1"/>
        <w:spacing w:before="71"/>
        <w:ind w:right="3137"/>
        <w:jc w:val="center"/>
      </w:pPr>
      <w:r>
        <w:rPr/>
        <w:t>Concello de Ortigueira</w:t>
      </w:r>
    </w:p>
    <w:p>
      <w:pPr>
        <w:spacing w:before="121"/>
        <w:ind w:left="2709" w:right="3137" w:firstLine="0"/>
        <w:jc w:val="center"/>
        <w:rPr>
          <w:sz w:val="16"/>
        </w:rPr>
      </w:pPr>
      <w:r>
        <w:rPr>
          <w:sz w:val="16"/>
        </w:rPr>
        <w:t>Plaza de Isabel II, s/n, Ortigueira. 15330 A Coruña. Tfno. 981400000. Fax: 981402536</w:t>
      </w:r>
    </w:p>
    <w:p>
      <w:pPr>
        <w:spacing w:after="0"/>
        <w:jc w:val="center"/>
        <w:rPr>
          <w:sz w:val="16"/>
        </w:rPr>
        <w:sectPr>
          <w:headerReference w:type="default" r:id="rId9"/>
          <w:pgSz w:w="11900" w:h="16840"/>
          <w:pgMar w:header="710" w:footer="0" w:top="2240" w:bottom="0" w:left="440" w:right="0"/>
        </w:sectPr>
      </w:pPr>
    </w:p>
    <w:p>
      <w:pPr>
        <w:pStyle w:val="BodyText"/>
        <w:spacing w:before="10"/>
        <w:rPr>
          <w:sz w:val="9"/>
        </w:rPr>
      </w:pPr>
    </w:p>
    <w:p>
      <w:pPr>
        <w:pStyle w:val="BodyText"/>
        <w:spacing w:before="91"/>
        <w:ind w:left="1263" w:right="1701"/>
        <w:jc w:val="both"/>
      </w:pPr>
      <w:r>
        <w:rPr/>
        <w:t>Administracións Públicas deberán acomodarse aos ditos obxectivos. O obxectivo de estabilidade prespostaria aprobado para 2017 para as EELL é do</w:t>
      </w:r>
      <w:r>
        <w:rPr>
          <w:spacing w:val="-20"/>
        </w:rPr>
        <w:t> </w:t>
      </w:r>
      <w:r>
        <w:rPr/>
        <w:t>0,00</w:t>
      </w:r>
    </w:p>
    <w:p>
      <w:pPr>
        <w:pStyle w:val="BodyText"/>
        <w:spacing w:before="10"/>
        <w:rPr>
          <w:sz w:val="21"/>
        </w:rPr>
      </w:pPr>
    </w:p>
    <w:p>
      <w:pPr>
        <w:pStyle w:val="BodyText"/>
        <w:ind w:left="1263" w:right="1701"/>
        <w:jc w:val="both"/>
      </w:pPr>
      <w:r>
        <w:rPr/>
        <w:t>Segundo a definicición do Sistema Europeo de Contas Nacionais e Rexionais, a estabilidade orzamentaria de equilibrio ou superávit (capacidade de financiamento) ponse de manifesto cando a suma dos capítulos 1 a 7 do Estado de ingresos é igual ou superior á suma dos capítulos 1 a 7 do Estado de</w:t>
      </w:r>
      <w:r>
        <w:rPr>
          <w:spacing w:val="-6"/>
        </w:rPr>
        <w:t> </w:t>
      </w:r>
      <w:r>
        <w:rPr/>
        <w:t>Gastos.</w:t>
      </w:r>
    </w:p>
    <w:p>
      <w:pPr>
        <w:pStyle w:val="BodyText"/>
        <w:spacing w:before="1"/>
      </w:pPr>
    </w:p>
    <w:p>
      <w:pPr>
        <w:pStyle w:val="BodyText"/>
        <w:ind w:left="1263"/>
        <w:jc w:val="both"/>
      </w:pPr>
      <w:r>
        <w:rPr/>
        <w:t>Pois ben, do Proxecto de orzamento que se está a analizar resultan os seguintes datos:</w:t>
      </w:r>
    </w:p>
    <w:p>
      <w:pPr>
        <w:pStyle w:val="BodyText"/>
        <w:rPr>
          <w:sz w:val="20"/>
        </w:rPr>
      </w:pPr>
    </w:p>
    <w:p>
      <w:pPr>
        <w:pStyle w:val="BodyText"/>
        <w:spacing w:before="1"/>
        <w:rPr>
          <w:sz w:val="24"/>
        </w:rPr>
      </w:pPr>
    </w:p>
    <w:tbl>
      <w:tblPr>
        <w:tblW w:w="0" w:type="auto"/>
        <w:jc w:val="left"/>
        <w:tblInd w:w="12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513"/>
        <w:gridCol w:w="1535"/>
      </w:tblGrid>
      <w:tr>
        <w:trPr>
          <w:trHeight w:val="500" w:hRule="atLeast"/>
        </w:trPr>
        <w:tc>
          <w:tcPr>
            <w:tcW w:w="2513" w:type="dxa"/>
            <w:tcBorders>
              <w:left w:val="single" w:sz="4" w:space="0" w:color="000000"/>
              <w:right w:val="nil"/>
            </w:tcBorders>
          </w:tcPr>
          <w:p>
            <w:pPr>
              <w:pStyle w:val="TableParagraph"/>
              <w:spacing w:line="248" w:lineRule="exact"/>
              <w:ind w:left="71"/>
              <w:rPr>
                <w:sz w:val="22"/>
              </w:rPr>
            </w:pPr>
            <w:r>
              <w:rPr>
                <w:sz w:val="22"/>
              </w:rPr>
              <w:t>Caps 1 a 7 Ingresos</w:t>
            </w:r>
          </w:p>
        </w:tc>
        <w:tc>
          <w:tcPr>
            <w:tcW w:w="1535" w:type="dxa"/>
            <w:tcBorders>
              <w:left w:val="nil"/>
              <w:right w:val="single" w:sz="4" w:space="0" w:color="000000"/>
            </w:tcBorders>
          </w:tcPr>
          <w:p>
            <w:pPr>
              <w:pStyle w:val="TableParagraph"/>
              <w:spacing w:line="248" w:lineRule="exact"/>
              <w:ind w:left="0" w:right="57"/>
              <w:jc w:val="right"/>
              <w:rPr>
                <w:sz w:val="22"/>
              </w:rPr>
            </w:pPr>
            <w:r>
              <w:rPr>
                <w:sz w:val="22"/>
              </w:rPr>
              <w:t>6.424.056,78</w:t>
            </w:r>
          </w:p>
        </w:tc>
      </w:tr>
      <w:tr>
        <w:trPr>
          <w:trHeight w:val="247" w:hRule="atLeast"/>
        </w:trPr>
        <w:tc>
          <w:tcPr>
            <w:tcW w:w="2513" w:type="dxa"/>
            <w:tcBorders>
              <w:left w:val="single" w:sz="4" w:space="0" w:color="000000"/>
              <w:right w:val="nil"/>
            </w:tcBorders>
          </w:tcPr>
          <w:p>
            <w:pPr>
              <w:pStyle w:val="TableParagraph"/>
              <w:ind w:left="70"/>
              <w:rPr>
                <w:sz w:val="22"/>
              </w:rPr>
            </w:pPr>
            <w:r>
              <w:rPr>
                <w:sz w:val="22"/>
              </w:rPr>
              <w:t>Caps 1 a 7 de Gastos</w:t>
            </w:r>
          </w:p>
        </w:tc>
        <w:tc>
          <w:tcPr>
            <w:tcW w:w="1535" w:type="dxa"/>
            <w:tcBorders>
              <w:left w:val="nil"/>
              <w:right w:val="single" w:sz="4" w:space="0" w:color="000000"/>
            </w:tcBorders>
          </w:tcPr>
          <w:p>
            <w:pPr>
              <w:pStyle w:val="TableParagraph"/>
              <w:ind w:left="0" w:right="57"/>
              <w:jc w:val="right"/>
              <w:rPr>
                <w:sz w:val="22"/>
              </w:rPr>
            </w:pPr>
            <w:r>
              <w:rPr>
                <w:sz w:val="22"/>
              </w:rPr>
              <w:t>6.113.119,93</w:t>
            </w:r>
          </w:p>
        </w:tc>
      </w:tr>
      <w:tr>
        <w:trPr>
          <w:trHeight w:val="500" w:hRule="atLeast"/>
        </w:trPr>
        <w:tc>
          <w:tcPr>
            <w:tcW w:w="2513" w:type="dxa"/>
            <w:tcBorders>
              <w:left w:val="single" w:sz="4" w:space="0" w:color="000000"/>
              <w:right w:val="nil"/>
            </w:tcBorders>
          </w:tcPr>
          <w:p>
            <w:pPr>
              <w:pStyle w:val="TableParagraph"/>
              <w:spacing w:line="252" w:lineRule="exact" w:before="1"/>
              <w:ind w:left="70" w:right="285"/>
              <w:rPr>
                <w:sz w:val="22"/>
              </w:rPr>
            </w:pPr>
            <w:r>
              <w:rPr>
                <w:sz w:val="22"/>
              </w:rPr>
              <w:t>Cap/Nec Financiamento Antes de Axustes</w:t>
            </w:r>
          </w:p>
        </w:tc>
        <w:tc>
          <w:tcPr>
            <w:tcW w:w="1535" w:type="dxa"/>
            <w:tcBorders>
              <w:left w:val="nil"/>
              <w:right w:val="single" w:sz="4" w:space="0" w:color="000000"/>
            </w:tcBorders>
          </w:tcPr>
          <w:p>
            <w:pPr>
              <w:pStyle w:val="TableParagraph"/>
              <w:spacing w:line="250" w:lineRule="exact"/>
              <w:ind w:left="0" w:right="113"/>
              <w:jc w:val="right"/>
              <w:rPr>
                <w:sz w:val="22"/>
              </w:rPr>
            </w:pPr>
            <w:r>
              <w:rPr>
                <w:sz w:val="22"/>
              </w:rPr>
              <w:t>310.936,85</w:t>
            </w:r>
          </w:p>
        </w:tc>
      </w:tr>
    </w:tbl>
    <w:p>
      <w:pPr>
        <w:pStyle w:val="BodyText"/>
        <w:spacing w:before="10"/>
        <w:rPr>
          <w:sz w:val="13"/>
        </w:rPr>
      </w:pPr>
    </w:p>
    <w:p>
      <w:pPr>
        <w:pStyle w:val="BodyText"/>
        <w:spacing w:before="91"/>
        <w:ind w:left="1263" w:right="1710"/>
        <w:jc w:val="both"/>
      </w:pPr>
      <w:r>
        <w:rPr/>
        <w:pict>
          <v:shape style="position:absolute;margin-left:535.991211pt;margin-top:-88.837669pt;width:32.9pt;height:247.2pt;mso-position-horizontal-relative:page;mso-position-vertical-relative:paragraph;z-index:1312" type="#_x0000_t202" filled="false" stroked="false">
            <v:textbox inset="0,0,0,0" style="layout-flow:vertical;mso-layout-flow-alt:bottom-to-top">
              <w:txbxContent>
                <w:p>
                  <w:pPr>
                    <w:spacing w:line="417" w:lineRule="exact" w:before="20"/>
                    <w:ind w:left="20" w:right="0" w:firstLine="0"/>
                    <w:jc w:val="left"/>
                    <w:rPr>
                      <w:rFonts w:ascii="Tahoma"/>
                      <w:sz w:val="36"/>
                    </w:rPr>
                  </w:pPr>
                  <w:r>
                    <w:rPr>
                      <w:rFonts w:ascii="Tahoma"/>
                      <w:sz w:val="36"/>
                    </w:rPr>
                    <w:t>INFORMES DE INTERVENCION</w:t>
                  </w:r>
                </w:p>
                <w:p>
                  <w:pPr>
                    <w:spacing w:line="200" w:lineRule="exact" w:before="0"/>
                    <w:ind w:left="40" w:right="0" w:firstLine="0"/>
                    <w:jc w:val="left"/>
                    <w:rPr>
                      <w:rFonts w:ascii="Tahoma" w:hAnsi="Tahoma"/>
                      <w:sz w:val="18"/>
                    </w:rPr>
                  </w:pPr>
                  <w:r>
                    <w:rPr>
                      <w:rFonts w:ascii="Tahoma" w:hAnsi="Tahoma"/>
                      <w:sz w:val="18"/>
                    </w:rPr>
                    <w:t>Número: 2017-0002 Fecha: 13/01/2017</w:t>
                  </w:r>
                </w:p>
              </w:txbxContent>
            </v:textbox>
            <w10:wrap type="none"/>
          </v:shape>
        </w:pict>
      </w:r>
      <w:r>
        <w:rPr/>
        <w:t>O cadro anterior pon de manifesto que, antes de axustes, os ingresos non financieros previstos son suficientes para satisfacer os gastos non financieros.</w:t>
      </w:r>
    </w:p>
    <w:p>
      <w:pPr>
        <w:pStyle w:val="BodyText"/>
        <w:spacing w:before="1"/>
      </w:pPr>
    </w:p>
    <w:p>
      <w:pPr>
        <w:pStyle w:val="BodyText"/>
        <w:ind w:left="1263" w:right="1704"/>
        <w:jc w:val="both"/>
      </w:pPr>
      <w:r>
        <w:rPr/>
        <w:t>Debido</w:t>
      </w:r>
      <w:r>
        <w:rPr>
          <w:spacing w:val="-3"/>
        </w:rPr>
        <w:t> </w:t>
      </w:r>
      <w:r>
        <w:rPr/>
        <w:t>as</w:t>
      </w:r>
      <w:r>
        <w:rPr>
          <w:spacing w:val="-4"/>
        </w:rPr>
        <w:t> </w:t>
      </w:r>
      <w:r>
        <w:rPr/>
        <w:t>diferencias</w:t>
      </w:r>
      <w:r>
        <w:rPr>
          <w:spacing w:val="-4"/>
        </w:rPr>
        <w:t> </w:t>
      </w:r>
      <w:r>
        <w:rPr/>
        <w:t>de</w:t>
      </w:r>
      <w:r>
        <w:rPr>
          <w:spacing w:val="-2"/>
        </w:rPr>
        <w:t> </w:t>
      </w:r>
      <w:r>
        <w:rPr/>
        <w:t>criterio</w:t>
      </w:r>
      <w:r>
        <w:rPr>
          <w:spacing w:val="-3"/>
        </w:rPr>
        <w:t> </w:t>
      </w:r>
      <w:r>
        <w:rPr/>
        <w:t>entre</w:t>
      </w:r>
      <w:r>
        <w:rPr>
          <w:spacing w:val="-5"/>
        </w:rPr>
        <w:t> </w:t>
      </w:r>
      <w:r>
        <w:rPr/>
        <w:t>a</w:t>
      </w:r>
      <w:r>
        <w:rPr>
          <w:spacing w:val="-5"/>
        </w:rPr>
        <w:t> </w:t>
      </w:r>
      <w:r>
        <w:rPr/>
        <w:t>contabilidade</w:t>
      </w:r>
      <w:r>
        <w:rPr>
          <w:spacing w:val="-4"/>
        </w:rPr>
        <w:t> </w:t>
      </w:r>
      <w:r>
        <w:rPr/>
        <w:t>orzamenatria</w:t>
      </w:r>
      <w:r>
        <w:rPr>
          <w:spacing w:val="-3"/>
        </w:rPr>
        <w:t> </w:t>
      </w:r>
      <w:r>
        <w:rPr/>
        <w:t>e</w:t>
      </w:r>
      <w:r>
        <w:rPr>
          <w:spacing w:val="-5"/>
        </w:rPr>
        <w:t> </w:t>
      </w:r>
      <w:r>
        <w:rPr/>
        <w:t>a</w:t>
      </w:r>
      <w:r>
        <w:rPr>
          <w:spacing w:val="-5"/>
        </w:rPr>
        <w:t> </w:t>
      </w:r>
      <w:r>
        <w:rPr/>
        <w:t>contabilidade</w:t>
      </w:r>
      <w:r>
        <w:rPr>
          <w:spacing w:val="-4"/>
        </w:rPr>
        <w:t> </w:t>
      </w:r>
      <w:r>
        <w:rPr/>
        <w:t>nacional,</w:t>
      </w:r>
      <w:r>
        <w:rPr>
          <w:spacing w:val="-4"/>
        </w:rPr>
        <w:t> </w:t>
      </w:r>
      <w:r>
        <w:rPr/>
        <w:t>é necesario facer unha serie de axustes a fin de adecuar a información orzamentaria de esta entidade aos criterios establecidos no Sistema Europeo de Contas Nacionais e Rexionais (SEC 95)</w:t>
      </w:r>
    </w:p>
    <w:p>
      <w:pPr>
        <w:pStyle w:val="BodyText"/>
        <w:spacing w:before="10"/>
        <w:rPr>
          <w:sz w:val="21"/>
        </w:rPr>
      </w:pPr>
    </w:p>
    <w:p>
      <w:pPr>
        <w:pStyle w:val="Heading1"/>
        <w:numPr>
          <w:ilvl w:val="0"/>
          <w:numId w:val="3"/>
        </w:numPr>
        <w:tabs>
          <w:tab w:pos="1550" w:val="left" w:leader="none"/>
        </w:tabs>
        <w:spacing w:line="240" w:lineRule="auto" w:before="0" w:after="0"/>
        <w:ind w:left="1549" w:right="0" w:hanging="285"/>
        <w:jc w:val="left"/>
      </w:pPr>
      <w:r>
        <w:rPr/>
        <w:t>INGRESOS:</w:t>
      </w:r>
    </w:p>
    <w:p>
      <w:pPr>
        <w:pStyle w:val="BodyText"/>
        <w:rPr>
          <w:b/>
        </w:rPr>
      </w:pPr>
    </w:p>
    <w:p>
      <w:pPr>
        <w:spacing w:before="1"/>
        <w:ind w:left="1263" w:right="0" w:firstLine="0"/>
        <w:jc w:val="left"/>
        <w:rPr>
          <w:b/>
          <w:sz w:val="22"/>
        </w:rPr>
      </w:pPr>
      <w:r>
        <w:rPr>
          <w:b/>
          <w:sz w:val="22"/>
        </w:rPr>
        <w:t>1.- Capítulos 1, 2 e 3 do Estado de Ingresos.</w:t>
      </w:r>
    </w:p>
    <w:p>
      <w:pPr>
        <w:pStyle w:val="BodyText"/>
        <w:spacing w:before="11"/>
        <w:rPr>
          <w:b/>
          <w:sz w:val="21"/>
        </w:rPr>
      </w:pPr>
    </w:p>
    <w:p>
      <w:pPr>
        <w:pStyle w:val="BodyText"/>
        <w:ind w:left="1263" w:right="1701"/>
        <w:jc w:val="both"/>
      </w:pPr>
      <w:r>
        <w:rPr/>
        <w:drawing>
          <wp:anchor distT="0" distB="0" distL="0" distR="0" allowOverlap="1" layoutInCell="1" locked="0" behindDoc="0" simplePos="0" relativeHeight="1288">
            <wp:simplePos x="0" y="0"/>
            <wp:positionH relativeFrom="page">
              <wp:posOffset>6871850</wp:posOffset>
            </wp:positionH>
            <wp:positionV relativeFrom="paragraph">
              <wp:posOffset>152013</wp:posOffset>
            </wp:positionV>
            <wp:extent cx="328070" cy="3911600"/>
            <wp:effectExtent l="0" t="0" r="0" b="0"/>
            <wp:wrapNone/>
            <wp:docPr id="11" name="image3.png" descr=""/>
            <wp:cNvGraphicFramePr>
              <a:graphicFrameLocks noChangeAspect="1"/>
            </wp:cNvGraphicFramePr>
            <a:graphic>
              <a:graphicData uri="http://schemas.openxmlformats.org/drawingml/2006/picture">
                <pic:pic>
                  <pic:nvPicPr>
                    <pic:cNvPr id="12" name="image3.png"/>
                    <pic:cNvPicPr/>
                  </pic:nvPicPr>
                  <pic:blipFill>
                    <a:blip r:embed="rId7" cstate="print"/>
                    <a:stretch>
                      <a:fillRect/>
                    </a:stretch>
                  </pic:blipFill>
                  <pic:spPr>
                    <a:xfrm>
                      <a:off x="0" y="0"/>
                      <a:ext cx="328070" cy="3911600"/>
                    </a:xfrm>
                    <a:prstGeom prst="rect">
                      <a:avLst/>
                    </a:prstGeom>
                  </pic:spPr>
                </pic:pic>
              </a:graphicData>
            </a:graphic>
          </wp:anchor>
        </w:drawing>
      </w:r>
      <w:r>
        <w:rPr/>
        <w:pict>
          <v:shape style="position:absolute;margin-left:567.568359pt;margin-top:42.203503pt;width:14.75pt;height:279.8pt;mso-position-horizontal-relative:page;mso-position-vertical-relative:paragraph;z-index:1336" type="#_x0000_t202" filled="false" stroked="false">
            <v:textbox inset="0,0,0,0" style="layout-flow:vertical;mso-layout-flow-alt:bottom-to-top">
              <w:txbxContent>
                <w:p>
                  <w:pPr>
                    <w:spacing w:line="208" w:lineRule="auto" w:before="30"/>
                    <w:ind w:left="20" w:right="0" w:firstLine="0"/>
                    <w:jc w:val="left"/>
                    <w:rPr>
                      <w:rFonts w:ascii="Arial" w:hAnsi="Arial"/>
                      <w:sz w:val="12"/>
                    </w:rPr>
                  </w:pPr>
                  <w:r>
                    <w:rPr>
                      <w:rFonts w:ascii="Arial" w:hAnsi="Arial"/>
                      <w:sz w:val="12"/>
                    </w:rPr>
                    <w:t>Cód.</w:t>
                  </w:r>
                  <w:r>
                    <w:rPr>
                      <w:rFonts w:ascii="Arial" w:hAnsi="Arial"/>
                      <w:spacing w:val="-15"/>
                      <w:sz w:val="12"/>
                    </w:rPr>
                    <w:t> </w:t>
                  </w:r>
                  <w:r>
                    <w:rPr>
                      <w:rFonts w:ascii="Arial" w:hAnsi="Arial"/>
                      <w:sz w:val="12"/>
                    </w:rPr>
                    <w:t>Validación:</w:t>
                  </w:r>
                  <w:r>
                    <w:rPr>
                      <w:rFonts w:ascii="Arial" w:hAnsi="Arial"/>
                      <w:spacing w:val="-15"/>
                      <w:sz w:val="12"/>
                    </w:rPr>
                    <w:t> </w:t>
                  </w:r>
                  <w:r>
                    <w:rPr>
                      <w:rFonts w:ascii="Arial" w:hAnsi="Arial"/>
                      <w:sz w:val="12"/>
                    </w:rPr>
                    <w:t>3LDMQ24NCGAA6DTPYZDWAMMPG</w:t>
                  </w:r>
                  <w:r>
                    <w:rPr>
                      <w:rFonts w:ascii="Arial" w:hAnsi="Arial"/>
                      <w:spacing w:val="-15"/>
                      <w:sz w:val="12"/>
                    </w:rPr>
                    <w:t> </w:t>
                  </w:r>
                  <w:r>
                    <w:rPr>
                      <w:rFonts w:ascii="Arial" w:hAnsi="Arial"/>
                      <w:sz w:val="12"/>
                    </w:rPr>
                    <w:t>|</w:t>
                  </w:r>
                  <w:r>
                    <w:rPr>
                      <w:rFonts w:ascii="Arial" w:hAnsi="Arial"/>
                      <w:spacing w:val="-15"/>
                      <w:sz w:val="12"/>
                    </w:rPr>
                    <w:t> </w:t>
                  </w:r>
                  <w:r>
                    <w:rPr>
                      <w:rFonts w:ascii="Arial" w:hAnsi="Arial"/>
                      <w:sz w:val="12"/>
                    </w:rPr>
                    <w:t>Verificación:</w:t>
                  </w:r>
                  <w:hyperlink r:id="rId8">
                    <w:r>
                      <w:rPr>
                        <w:rFonts w:ascii="Arial" w:hAnsi="Arial"/>
                        <w:spacing w:val="-15"/>
                        <w:sz w:val="12"/>
                      </w:rPr>
                      <w:t> </w:t>
                    </w:r>
                    <w:r>
                      <w:rPr>
                        <w:rFonts w:ascii="Arial" w:hAnsi="Arial"/>
                        <w:sz w:val="12"/>
                      </w:rPr>
                      <w:t>http://ortigueira.sedelectronica.es/</w:t>
                    </w:r>
                  </w:hyperlink>
                  <w:r>
                    <w:rPr>
                      <w:rFonts w:ascii="Arial" w:hAnsi="Arial"/>
                      <w:sz w:val="12"/>
                    </w:rPr>
                    <w:t> Documento</w:t>
                  </w:r>
                  <w:r>
                    <w:rPr>
                      <w:rFonts w:ascii="Arial" w:hAnsi="Arial"/>
                      <w:spacing w:val="-3"/>
                      <w:sz w:val="12"/>
                    </w:rPr>
                    <w:t> </w:t>
                  </w:r>
                  <w:r>
                    <w:rPr>
                      <w:rFonts w:ascii="Arial" w:hAnsi="Arial"/>
                      <w:sz w:val="12"/>
                    </w:rPr>
                    <w:t>firmado</w:t>
                  </w:r>
                  <w:r>
                    <w:rPr>
                      <w:rFonts w:ascii="Arial" w:hAnsi="Arial"/>
                      <w:spacing w:val="-3"/>
                      <w:sz w:val="12"/>
                    </w:rPr>
                    <w:t> </w:t>
                  </w:r>
                  <w:r>
                    <w:rPr>
                      <w:rFonts w:ascii="Arial" w:hAnsi="Arial"/>
                      <w:sz w:val="12"/>
                    </w:rPr>
                    <w:t>electrónicamente</w:t>
                  </w:r>
                  <w:r>
                    <w:rPr>
                      <w:rFonts w:ascii="Arial" w:hAnsi="Arial"/>
                      <w:spacing w:val="-3"/>
                      <w:sz w:val="12"/>
                    </w:rPr>
                    <w:t> </w:t>
                  </w:r>
                  <w:r>
                    <w:rPr>
                      <w:rFonts w:ascii="Arial" w:hAnsi="Arial"/>
                      <w:sz w:val="12"/>
                    </w:rPr>
                    <w:t>desde</w:t>
                  </w:r>
                  <w:r>
                    <w:rPr>
                      <w:rFonts w:ascii="Arial" w:hAnsi="Arial"/>
                      <w:spacing w:val="-3"/>
                      <w:sz w:val="12"/>
                    </w:rPr>
                    <w:t> </w:t>
                  </w:r>
                  <w:r>
                    <w:rPr>
                      <w:rFonts w:ascii="Arial" w:hAnsi="Arial"/>
                      <w:sz w:val="12"/>
                    </w:rPr>
                    <w:t>la</w:t>
                  </w:r>
                  <w:r>
                    <w:rPr>
                      <w:rFonts w:ascii="Arial" w:hAnsi="Arial"/>
                      <w:spacing w:val="-3"/>
                      <w:sz w:val="12"/>
                    </w:rPr>
                    <w:t> </w:t>
                  </w:r>
                  <w:r>
                    <w:rPr>
                      <w:rFonts w:ascii="Arial" w:hAnsi="Arial"/>
                      <w:sz w:val="12"/>
                    </w:rPr>
                    <w:t>plataforma</w:t>
                  </w:r>
                  <w:r>
                    <w:rPr>
                      <w:rFonts w:ascii="Arial" w:hAnsi="Arial"/>
                      <w:spacing w:val="-3"/>
                      <w:sz w:val="12"/>
                    </w:rPr>
                    <w:t> </w:t>
                  </w:r>
                  <w:r>
                    <w:rPr>
                      <w:rFonts w:ascii="Arial" w:hAnsi="Arial"/>
                      <w:sz w:val="12"/>
                    </w:rPr>
                    <w:t>esPublico</w:t>
                  </w:r>
                  <w:r>
                    <w:rPr>
                      <w:rFonts w:ascii="Arial" w:hAnsi="Arial"/>
                      <w:spacing w:val="-3"/>
                      <w:sz w:val="12"/>
                    </w:rPr>
                    <w:t> </w:t>
                  </w:r>
                  <w:r>
                    <w:rPr>
                      <w:rFonts w:ascii="Arial" w:hAnsi="Arial"/>
                      <w:sz w:val="12"/>
                    </w:rPr>
                    <w:t>Gestiona</w:t>
                  </w:r>
                  <w:r>
                    <w:rPr>
                      <w:rFonts w:ascii="Arial" w:hAnsi="Arial"/>
                      <w:spacing w:val="-3"/>
                      <w:sz w:val="12"/>
                    </w:rPr>
                    <w:t> </w:t>
                  </w:r>
                  <w:r>
                    <w:rPr>
                      <w:rFonts w:ascii="Arial" w:hAnsi="Arial"/>
                      <w:sz w:val="12"/>
                    </w:rPr>
                    <w:t>|</w:t>
                  </w:r>
                  <w:r>
                    <w:rPr>
                      <w:rFonts w:ascii="Arial" w:hAnsi="Arial"/>
                      <w:spacing w:val="-3"/>
                      <w:sz w:val="12"/>
                    </w:rPr>
                    <w:t> </w:t>
                  </w:r>
                  <w:r>
                    <w:rPr>
                      <w:rFonts w:ascii="Arial" w:hAnsi="Arial"/>
                      <w:sz w:val="12"/>
                    </w:rPr>
                    <w:t>Página</w:t>
                  </w:r>
                  <w:r>
                    <w:rPr>
                      <w:rFonts w:ascii="Arial" w:hAnsi="Arial"/>
                      <w:spacing w:val="-3"/>
                      <w:sz w:val="12"/>
                    </w:rPr>
                    <w:t> </w:t>
                  </w:r>
                  <w:r>
                    <w:rPr>
                      <w:rFonts w:ascii="Arial" w:hAnsi="Arial"/>
                      <w:sz w:val="12"/>
                    </w:rPr>
                    <w:t>3</w:t>
                  </w:r>
                  <w:r>
                    <w:rPr>
                      <w:rFonts w:ascii="Arial" w:hAnsi="Arial"/>
                      <w:spacing w:val="-3"/>
                      <w:sz w:val="12"/>
                    </w:rPr>
                    <w:t> </w:t>
                  </w:r>
                  <w:r>
                    <w:rPr>
                      <w:rFonts w:ascii="Arial" w:hAnsi="Arial"/>
                      <w:sz w:val="12"/>
                    </w:rPr>
                    <w:t>de</w:t>
                  </w:r>
                  <w:r>
                    <w:rPr>
                      <w:rFonts w:ascii="Arial" w:hAnsi="Arial"/>
                      <w:spacing w:val="-3"/>
                      <w:sz w:val="12"/>
                    </w:rPr>
                    <w:t> </w:t>
                  </w:r>
                  <w:r>
                    <w:rPr>
                      <w:rFonts w:ascii="Arial" w:hAnsi="Arial"/>
                      <w:sz w:val="12"/>
                    </w:rPr>
                    <w:t>6</w:t>
                  </w:r>
                </w:p>
              </w:txbxContent>
            </v:textbox>
            <w10:wrap type="none"/>
          </v:shape>
        </w:pict>
      </w:r>
      <w:r>
        <w:rPr/>
        <w:t>No “Manual de cálculo del Déficit en Contabilidad Nacional adaptado a las Corporaciones Locales, publicado por la IGAE”, establecese que “la capacidad/necesidad de financiación de las administraciones públicas no puede verse afectada por los importes de impuestos y cotizaciones</w:t>
      </w:r>
      <w:r>
        <w:rPr>
          <w:spacing w:val="-2"/>
        </w:rPr>
        <w:t> </w:t>
      </w:r>
      <w:r>
        <w:rPr/>
        <w:t>sociales</w:t>
      </w:r>
      <w:r>
        <w:rPr>
          <w:spacing w:val="-4"/>
        </w:rPr>
        <w:t> </w:t>
      </w:r>
      <w:r>
        <w:rPr/>
        <w:t>cuya</w:t>
      </w:r>
      <w:r>
        <w:rPr>
          <w:spacing w:val="-2"/>
        </w:rPr>
        <w:t> </w:t>
      </w:r>
      <w:r>
        <w:rPr/>
        <w:t>recaudación</w:t>
      </w:r>
      <w:r>
        <w:rPr>
          <w:spacing w:val="-3"/>
        </w:rPr>
        <w:t> </w:t>
      </w:r>
      <w:r>
        <w:rPr/>
        <w:t>sea</w:t>
      </w:r>
      <w:r>
        <w:rPr>
          <w:spacing w:val="-5"/>
        </w:rPr>
        <w:t> </w:t>
      </w:r>
      <w:r>
        <w:rPr/>
        <w:t>incierta”,</w:t>
      </w:r>
      <w:r>
        <w:rPr>
          <w:spacing w:val="-4"/>
        </w:rPr>
        <w:t> </w:t>
      </w:r>
      <w:r>
        <w:rPr/>
        <w:t>polo</w:t>
      </w:r>
      <w:r>
        <w:rPr>
          <w:spacing w:val="-3"/>
        </w:rPr>
        <w:t> </w:t>
      </w:r>
      <w:r>
        <w:rPr/>
        <w:t>que</w:t>
      </w:r>
      <w:r>
        <w:rPr>
          <w:spacing w:val="-4"/>
        </w:rPr>
        <w:t> </w:t>
      </w:r>
      <w:r>
        <w:rPr/>
        <w:t>se</w:t>
      </w:r>
      <w:r>
        <w:rPr>
          <w:spacing w:val="-5"/>
        </w:rPr>
        <w:t> </w:t>
      </w:r>
      <w:r>
        <w:rPr/>
        <w:t>interpreta</w:t>
      </w:r>
      <w:r>
        <w:rPr>
          <w:spacing w:val="-5"/>
        </w:rPr>
        <w:t> </w:t>
      </w:r>
      <w:r>
        <w:rPr/>
        <w:t>que,</w:t>
      </w:r>
      <w:r>
        <w:rPr>
          <w:spacing w:val="-4"/>
        </w:rPr>
        <w:t> </w:t>
      </w:r>
      <w:r>
        <w:rPr/>
        <w:t>como</w:t>
      </w:r>
      <w:r>
        <w:rPr>
          <w:spacing w:val="-3"/>
        </w:rPr>
        <w:t> </w:t>
      </w:r>
      <w:r>
        <w:rPr/>
        <w:t>ó</w:t>
      </w:r>
      <w:r>
        <w:rPr>
          <w:spacing w:val="-5"/>
        </w:rPr>
        <w:t> </w:t>
      </w:r>
      <w:r>
        <w:rPr/>
        <w:t>elaborar o orzamento tómanse como referencia os dereitos recoñecidos e non os recadados en exercicios anteriores, habería que realizar un axuste á vista da recadación efectivamente realizada no exercicio coa última liquidación apropbada (2015), que para o Concello de Ortigueira se concretaría</w:t>
      </w:r>
      <w:r>
        <w:rPr>
          <w:spacing w:val="-1"/>
        </w:rPr>
        <w:t> </w:t>
      </w:r>
      <w:r>
        <w:rPr/>
        <w:t>en:</w:t>
      </w:r>
    </w:p>
    <w:p>
      <w:pPr>
        <w:pStyle w:val="BodyText"/>
        <w:rPr>
          <w:sz w:val="20"/>
        </w:rPr>
      </w:pPr>
    </w:p>
    <w:p>
      <w:pPr>
        <w:pStyle w:val="BodyText"/>
        <w:spacing w:before="1" w:after="1"/>
        <w:rPr>
          <w:sz w:val="24"/>
        </w:rPr>
      </w:pPr>
    </w:p>
    <w:tbl>
      <w:tblPr>
        <w:tblW w:w="0" w:type="auto"/>
        <w:jc w:val="left"/>
        <w:tblInd w:w="11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04"/>
        <w:gridCol w:w="1274"/>
        <w:gridCol w:w="1282"/>
        <w:gridCol w:w="1280"/>
        <w:gridCol w:w="1598"/>
        <w:gridCol w:w="1078"/>
      </w:tblGrid>
      <w:tr>
        <w:trPr>
          <w:trHeight w:val="246" w:hRule="atLeast"/>
        </w:trPr>
        <w:tc>
          <w:tcPr>
            <w:tcW w:w="1204" w:type="dxa"/>
            <w:vMerge w:val="restart"/>
            <w:tcBorders>
              <w:left w:val="single" w:sz="4" w:space="0" w:color="000000"/>
              <w:right w:val="single" w:sz="4" w:space="0" w:color="000000"/>
            </w:tcBorders>
          </w:tcPr>
          <w:p>
            <w:pPr>
              <w:pStyle w:val="TableParagraph"/>
              <w:spacing w:line="248" w:lineRule="exact"/>
              <w:rPr>
                <w:sz w:val="22"/>
              </w:rPr>
            </w:pPr>
            <w:r>
              <w:rPr>
                <w:sz w:val="22"/>
              </w:rPr>
              <w:t>Capitulos</w:t>
            </w:r>
          </w:p>
        </w:tc>
        <w:tc>
          <w:tcPr>
            <w:tcW w:w="1274" w:type="dxa"/>
            <w:vMerge w:val="restart"/>
            <w:tcBorders>
              <w:left w:val="single" w:sz="4" w:space="0" w:color="000000"/>
              <w:right w:val="single" w:sz="4" w:space="0" w:color="000000"/>
            </w:tcBorders>
          </w:tcPr>
          <w:p>
            <w:pPr>
              <w:pStyle w:val="TableParagraph"/>
              <w:spacing w:line="240" w:lineRule="auto"/>
              <w:ind w:right="413"/>
              <w:rPr>
                <w:sz w:val="22"/>
              </w:rPr>
            </w:pPr>
            <w:r>
              <w:rPr>
                <w:sz w:val="22"/>
              </w:rPr>
              <w:t>Previsto 2015</w:t>
            </w:r>
          </w:p>
        </w:tc>
        <w:tc>
          <w:tcPr>
            <w:tcW w:w="2562" w:type="dxa"/>
            <w:gridSpan w:val="2"/>
            <w:tcBorders>
              <w:left w:val="single" w:sz="4" w:space="0" w:color="000000"/>
              <w:right w:val="single" w:sz="4" w:space="0" w:color="000000"/>
            </w:tcBorders>
          </w:tcPr>
          <w:p>
            <w:pPr>
              <w:pStyle w:val="TableParagraph"/>
              <w:rPr>
                <w:sz w:val="22"/>
              </w:rPr>
            </w:pPr>
            <w:r>
              <w:rPr>
                <w:sz w:val="22"/>
              </w:rPr>
              <w:t>Recaudado 2015</w:t>
            </w:r>
          </w:p>
        </w:tc>
        <w:tc>
          <w:tcPr>
            <w:tcW w:w="1598" w:type="dxa"/>
            <w:vMerge w:val="restart"/>
            <w:tcBorders>
              <w:left w:val="single" w:sz="4" w:space="0" w:color="000000"/>
              <w:right w:val="single" w:sz="4" w:space="0" w:color="000000"/>
            </w:tcBorders>
          </w:tcPr>
          <w:p>
            <w:pPr>
              <w:pStyle w:val="TableParagraph"/>
              <w:spacing w:line="240" w:lineRule="auto"/>
              <w:ind w:right="175"/>
              <w:rPr>
                <w:sz w:val="22"/>
              </w:rPr>
            </w:pPr>
            <w:r>
              <w:rPr>
                <w:sz w:val="22"/>
              </w:rPr>
              <w:t>% RECADACIO</w:t>
            </w:r>
          </w:p>
          <w:p>
            <w:pPr>
              <w:pStyle w:val="TableParagraph"/>
              <w:spacing w:line="254" w:lineRule="exact"/>
              <w:ind w:right="310"/>
              <w:rPr>
                <w:sz w:val="22"/>
              </w:rPr>
            </w:pPr>
            <w:r>
              <w:rPr>
                <w:sz w:val="22"/>
              </w:rPr>
              <w:t>N/ PREVISION</w:t>
            </w:r>
          </w:p>
        </w:tc>
        <w:tc>
          <w:tcPr>
            <w:tcW w:w="1078" w:type="dxa"/>
            <w:vMerge w:val="restart"/>
            <w:tcBorders>
              <w:left w:val="single" w:sz="4" w:space="0" w:color="000000"/>
              <w:right w:val="single" w:sz="4" w:space="0" w:color="000000"/>
            </w:tcBorders>
          </w:tcPr>
          <w:p>
            <w:pPr>
              <w:pStyle w:val="TableParagraph"/>
              <w:spacing w:line="240" w:lineRule="auto"/>
              <w:ind w:right="205"/>
              <w:rPr>
                <w:sz w:val="22"/>
              </w:rPr>
            </w:pPr>
            <w:r>
              <w:rPr>
                <w:sz w:val="22"/>
              </w:rPr>
              <w:t>% AXUST E</w:t>
            </w:r>
          </w:p>
        </w:tc>
      </w:tr>
      <w:tr>
        <w:trPr>
          <w:trHeight w:val="745" w:hRule="atLeast"/>
        </w:trPr>
        <w:tc>
          <w:tcPr>
            <w:tcW w:w="1204" w:type="dxa"/>
            <w:vMerge/>
            <w:tcBorders>
              <w:top w:val="nil"/>
              <w:left w:val="single" w:sz="4" w:space="0" w:color="000000"/>
              <w:right w:val="single" w:sz="4" w:space="0" w:color="000000"/>
            </w:tcBorders>
          </w:tcPr>
          <w:p>
            <w:pPr>
              <w:rPr>
                <w:sz w:val="2"/>
                <w:szCs w:val="2"/>
              </w:rPr>
            </w:pPr>
          </w:p>
        </w:tc>
        <w:tc>
          <w:tcPr>
            <w:tcW w:w="1274" w:type="dxa"/>
            <w:vMerge/>
            <w:tcBorders>
              <w:top w:val="nil"/>
              <w:left w:val="single" w:sz="4" w:space="0" w:color="000000"/>
              <w:right w:val="single" w:sz="4" w:space="0" w:color="000000"/>
            </w:tcBorders>
          </w:tcPr>
          <w:p>
            <w:pPr>
              <w:rPr>
                <w:sz w:val="2"/>
                <w:szCs w:val="2"/>
              </w:rPr>
            </w:pPr>
          </w:p>
        </w:tc>
        <w:tc>
          <w:tcPr>
            <w:tcW w:w="1282" w:type="dxa"/>
            <w:tcBorders>
              <w:left w:val="single" w:sz="4" w:space="0" w:color="000000"/>
              <w:right w:val="single" w:sz="4" w:space="0" w:color="000000"/>
            </w:tcBorders>
          </w:tcPr>
          <w:p>
            <w:pPr>
              <w:pStyle w:val="TableParagraph"/>
              <w:spacing w:line="240" w:lineRule="auto"/>
              <w:ind w:right="116"/>
              <w:rPr>
                <w:sz w:val="22"/>
              </w:rPr>
            </w:pPr>
            <w:r>
              <w:rPr>
                <w:sz w:val="22"/>
              </w:rPr>
              <w:t>CORRENT E</w:t>
            </w:r>
          </w:p>
        </w:tc>
        <w:tc>
          <w:tcPr>
            <w:tcW w:w="1280" w:type="dxa"/>
            <w:tcBorders>
              <w:left w:val="single" w:sz="4" w:space="0" w:color="000000"/>
              <w:right w:val="single" w:sz="4" w:space="0" w:color="000000"/>
            </w:tcBorders>
          </w:tcPr>
          <w:p>
            <w:pPr>
              <w:pStyle w:val="TableParagraph"/>
              <w:spacing w:line="240" w:lineRule="auto"/>
              <w:ind w:right="19"/>
              <w:rPr>
                <w:sz w:val="22"/>
              </w:rPr>
            </w:pPr>
            <w:r>
              <w:rPr>
                <w:sz w:val="22"/>
              </w:rPr>
              <w:t>PECHADO S</w:t>
            </w:r>
          </w:p>
        </w:tc>
        <w:tc>
          <w:tcPr>
            <w:tcW w:w="1598" w:type="dxa"/>
            <w:vMerge/>
            <w:tcBorders>
              <w:top w:val="nil"/>
              <w:left w:val="single" w:sz="4" w:space="0" w:color="000000"/>
              <w:right w:val="single" w:sz="4" w:space="0" w:color="000000"/>
            </w:tcBorders>
          </w:tcPr>
          <w:p>
            <w:pPr>
              <w:rPr>
                <w:sz w:val="2"/>
                <w:szCs w:val="2"/>
              </w:rPr>
            </w:pPr>
          </w:p>
        </w:tc>
        <w:tc>
          <w:tcPr>
            <w:tcW w:w="1078" w:type="dxa"/>
            <w:vMerge/>
            <w:tcBorders>
              <w:top w:val="nil"/>
              <w:left w:val="single" w:sz="4" w:space="0" w:color="000000"/>
              <w:right w:val="single" w:sz="4" w:space="0" w:color="000000"/>
            </w:tcBorders>
          </w:tcPr>
          <w:p>
            <w:pPr>
              <w:rPr>
                <w:sz w:val="2"/>
                <w:szCs w:val="2"/>
              </w:rPr>
            </w:pPr>
          </w:p>
        </w:tc>
      </w:tr>
      <w:tr>
        <w:trPr>
          <w:trHeight w:val="494" w:hRule="atLeast"/>
        </w:trPr>
        <w:tc>
          <w:tcPr>
            <w:tcW w:w="1204" w:type="dxa"/>
            <w:tcBorders>
              <w:left w:val="single" w:sz="4" w:space="0" w:color="000000"/>
              <w:right w:val="single" w:sz="4" w:space="0" w:color="000000"/>
            </w:tcBorders>
          </w:tcPr>
          <w:p>
            <w:pPr>
              <w:pStyle w:val="TableParagraph"/>
              <w:spacing w:line="241" w:lineRule="exact"/>
              <w:rPr>
                <w:sz w:val="22"/>
              </w:rPr>
            </w:pPr>
            <w:r>
              <w:rPr>
                <w:sz w:val="22"/>
              </w:rPr>
              <w:t>1</w:t>
            </w:r>
          </w:p>
        </w:tc>
        <w:tc>
          <w:tcPr>
            <w:tcW w:w="1274" w:type="dxa"/>
            <w:tcBorders>
              <w:left w:val="single" w:sz="4" w:space="0" w:color="000000"/>
              <w:right w:val="single" w:sz="4" w:space="0" w:color="000000"/>
            </w:tcBorders>
          </w:tcPr>
          <w:p>
            <w:pPr>
              <w:pStyle w:val="TableParagraph"/>
              <w:spacing w:line="241" w:lineRule="exact"/>
              <w:rPr>
                <w:sz w:val="22"/>
              </w:rPr>
            </w:pPr>
            <w:r>
              <w:rPr>
                <w:sz w:val="22"/>
              </w:rPr>
              <w:t>1.743.024,3</w:t>
            </w:r>
          </w:p>
          <w:p>
            <w:pPr>
              <w:pStyle w:val="TableParagraph"/>
              <w:spacing w:line="232" w:lineRule="exact" w:before="1"/>
              <w:rPr>
                <w:sz w:val="22"/>
              </w:rPr>
            </w:pPr>
            <w:r>
              <w:rPr>
                <w:sz w:val="22"/>
              </w:rPr>
              <w:t>4</w:t>
            </w:r>
          </w:p>
        </w:tc>
        <w:tc>
          <w:tcPr>
            <w:tcW w:w="1282" w:type="dxa"/>
            <w:tcBorders>
              <w:left w:val="single" w:sz="4" w:space="0" w:color="000000"/>
              <w:right w:val="single" w:sz="4" w:space="0" w:color="000000"/>
            </w:tcBorders>
          </w:tcPr>
          <w:p>
            <w:pPr>
              <w:pStyle w:val="TableParagraph"/>
              <w:spacing w:line="241" w:lineRule="exact"/>
              <w:rPr>
                <w:sz w:val="22"/>
              </w:rPr>
            </w:pPr>
            <w:r>
              <w:rPr>
                <w:sz w:val="22"/>
              </w:rPr>
              <w:t>1.678.542,1</w:t>
            </w:r>
          </w:p>
          <w:p>
            <w:pPr>
              <w:pStyle w:val="TableParagraph"/>
              <w:spacing w:line="232" w:lineRule="exact" w:before="1"/>
              <w:rPr>
                <w:sz w:val="22"/>
              </w:rPr>
            </w:pPr>
            <w:r>
              <w:rPr>
                <w:sz w:val="22"/>
              </w:rPr>
              <w:t>0</w:t>
            </w:r>
          </w:p>
        </w:tc>
        <w:tc>
          <w:tcPr>
            <w:tcW w:w="1280" w:type="dxa"/>
            <w:tcBorders>
              <w:left w:val="single" w:sz="4" w:space="0" w:color="000000"/>
              <w:right w:val="single" w:sz="4" w:space="0" w:color="000000"/>
            </w:tcBorders>
          </w:tcPr>
          <w:p>
            <w:pPr>
              <w:pStyle w:val="TableParagraph"/>
              <w:spacing w:line="241" w:lineRule="exact"/>
              <w:rPr>
                <w:sz w:val="22"/>
              </w:rPr>
            </w:pPr>
            <w:r>
              <w:rPr>
                <w:sz w:val="22"/>
              </w:rPr>
              <w:t>5.052,12</w:t>
            </w:r>
          </w:p>
        </w:tc>
        <w:tc>
          <w:tcPr>
            <w:tcW w:w="1598" w:type="dxa"/>
            <w:tcBorders>
              <w:left w:val="single" w:sz="4" w:space="0" w:color="000000"/>
              <w:right w:val="single" w:sz="4" w:space="0" w:color="000000"/>
            </w:tcBorders>
          </w:tcPr>
          <w:p>
            <w:pPr>
              <w:pStyle w:val="TableParagraph"/>
              <w:spacing w:line="241" w:lineRule="exact"/>
              <w:rPr>
                <w:sz w:val="22"/>
              </w:rPr>
            </w:pPr>
            <w:r>
              <w:rPr>
                <w:sz w:val="22"/>
              </w:rPr>
              <w:t>96,60</w:t>
            </w:r>
          </w:p>
        </w:tc>
        <w:tc>
          <w:tcPr>
            <w:tcW w:w="1078" w:type="dxa"/>
            <w:tcBorders>
              <w:left w:val="single" w:sz="4" w:space="0" w:color="000000"/>
              <w:right w:val="single" w:sz="4" w:space="0" w:color="000000"/>
            </w:tcBorders>
          </w:tcPr>
          <w:p>
            <w:pPr>
              <w:pStyle w:val="TableParagraph"/>
              <w:spacing w:line="241" w:lineRule="exact"/>
              <w:rPr>
                <w:sz w:val="22"/>
              </w:rPr>
            </w:pPr>
            <w:r>
              <w:rPr>
                <w:sz w:val="22"/>
              </w:rPr>
              <w:t>3,4%</w:t>
            </w:r>
          </w:p>
        </w:tc>
      </w:tr>
      <w:tr>
        <w:trPr>
          <w:trHeight w:val="246" w:hRule="atLeast"/>
        </w:trPr>
        <w:tc>
          <w:tcPr>
            <w:tcW w:w="1204" w:type="dxa"/>
            <w:tcBorders>
              <w:left w:val="single" w:sz="4" w:space="0" w:color="000000"/>
              <w:right w:val="single" w:sz="4" w:space="0" w:color="000000"/>
            </w:tcBorders>
          </w:tcPr>
          <w:p>
            <w:pPr>
              <w:pStyle w:val="TableParagraph"/>
              <w:rPr>
                <w:sz w:val="22"/>
              </w:rPr>
            </w:pPr>
            <w:r>
              <w:rPr>
                <w:sz w:val="22"/>
              </w:rPr>
              <w:t>2</w:t>
            </w:r>
          </w:p>
        </w:tc>
        <w:tc>
          <w:tcPr>
            <w:tcW w:w="1274" w:type="dxa"/>
            <w:tcBorders>
              <w:left w:val="single" w:sz="4" w:space="0" w:color="000000"/>
              <w:right w:val="single" w:sz="4" w:space="0" w:color="000000"/>
            </w:tcBorders>
          </w:tcPr>
          <w:p>
            <w:pPr>
              <w:pStyle w:val="TableParagraph"/>
              <w:rPr>
                <w:sz w:val="22"/>
              </w:rPr>
            </w:pPr>
            <w:r>
              <w:rPr>
                <w:sz w:val="22"/>
              </w:rPr>
              <w:t>173.377,60</w:t>
            </w:r>
          </w:p>
        </w:tc>
        <w:tc>
          <w:tcPr>
            <w:tcW w:w="1282" w:type="dxa"/>
            <w:tcBorders>
              <w:left w:val="single" w:sz="4" w:space="0" w:color="000000"/>
              <w:right w:val="single" w:sz="4" w:space="0" w:color="000000"/>
            </w:tcBorders>
          </w:tcPr>
          <w:p>
            <w:pPr>
              <w:pStyle w:val="TableParagraph"/>
              <w:rPr>
                <w:sz w:val="22"/>
              </w:rPr>
            </w:pPr>
            <w:r>
              <w:rPr>
                <w:sz w:val="22"/>
              </w:rPr>
              <w:t>96.332,39</w:t>
            </w:r>
          </w:p>
        </w:tc>
        <w:tc>
          <w:tcPr>
            <w:tcW w:w="1280" w:type="dxa"/>
            <w:tcBorders>
              <w:left w:val="single" w:sz="4" w:space="0" w:color="000000"/>
              <w:right w:val="single" w:sz="4" w:space="0" w:color="000000"/>
            </w:tcBorders>
          </w:tcPr>
          <w:p>
            <w:pPr>
              <w:pStyle w:val="TableParagraph"/>
              <w:rPr>
                <w:sz w:val="22"/>
              </w:rPr>
            </w:pPr>
            <w:r>
              <w:rPr>
                <w:sz w:val="22"/>
              </w:rPr>
              <w:t>159,80</w:t>
            </w:r>
          </w:p>
        </w:tc>
        <w:tc>
          <w:tcPr>
            <w:tcW w:w="1598" w:type="dxa"/>
            <w:tcBorders>
              <w:left w:val="single" w:sz="4" w:space="0" w:color="000000"/>
              <w:right w:val="single" w:sz="4" w:space="0" w:color="000000"/>
            </w:tcBorders>
          </w:tcPr>
          <w:p>
            <w:pPr>
              <w:pStyle w:val="TableParagraph"/>
              <w:rPr>
                <w:sz w:val="22"/>
              </w:rPr>
            </w:pPr>
            <w:r>
              <w:rPr>
                <w:sz w:val="22"/>
              </w:rPr>
              <w:t>55,70</w:t>
            </w:r>
          </w:p>
        </w:tc>
        <w:tc>
          <w:tcPr>
            <w:tcW w:w="1078" w:type="dxa"/>
            <w:tcBorders>
              <w:left w:val="single" w:sz="4" w:space="0" w:color="000000"/>
              <w:right w:val="single" w:sz="4" w:space="0" w:color="000000"/>
            </w:tcBorders>
          </w:tcPr>
          <w:p>
            <w:pPr>
              <w:pStyle w:val="TableParagraph"/>
              <w:rPr>
                <w:sz w:val="22"/>
              </w:rPr>
            </w:pPr>
            <w:r>
              <w:rPr>
                <w:sz w:val="22"/>
              </w:rPr>
              <w:t>44,30%</w:t>
            </w:r>
          </w:p>
        </w:tc>
      </w:tr>
      <w:tr>
        <w:trPr>
          <w:trHeight w:val="500" w:hRule="atLeast"/>
        </w:trPr>
        <w:tc>
          <w:tcPr>
            <w:tcW w:w="1204" w:type="dxa"/>
            <w:tcBorders>
              <w:left w:val="single" w:sz="4" w:space="0" w:color="000000"/>
              <w:right w:val="single" w:sz="4" w:space="0" w:color="000000"/>
            </w:tcBorders>
          </w:tcPr>
          <w:p>
            <w:pPr>
              <w:pStyle w:val="TableParagraph"/>
              <w:spacing w:line="250" w:lineRule="exact"/>
              <w:rPr>
                <w:sz w:val="22"/>
              </w:rPr>
            </w:pPr>
            <w:r>
              <w:rPr>
                <w:sz w:val="22"/>
              </w:rPr>
              <w:t>3</w:t>
            </w:r>
          </w:p>
        </w:tc>
        <w:tc>
          <w:tcPr>
            <w:tcW w:w="1274" w:type="dxa"/>
            <w:tcBorders>
              <w:left w:val="single" w:sz="4" w:space="0" w:color="000000"/>
              <w:right w:val="single" w:sz="4" w:space="0" w:color="000000"/>
            </w:tcBorders>
          </w:tcPr>
          <w:p>
            <w:pPr>
              <w:pStyle w:val="TableParagraph"/>
              <w:spacing w:line="250" w:lineRule="exact"/>
              <w:rPr>
                <w:sz w:val="22"/>
              </w:rPr>
            </w:pPr>
            <w:r>
              <w:rPr>
                <w:sz w:val="22"/>
              </w:rPr>
              <w:t>1.722.223,3</w:t>
            </w:r>
          </w:p>
          <w:p>
            <w:pPr>
              <w:pStyle w:val="TableParagraph"/>
              <w:spacing w:line="231" w:lineRule="exact"/>
              <w:rPr>
                <w:sz w:val="22"/>
              </w:rPr>
            </w:pPr>
            <w:r>
              <w:rPr>
                <w:sz w:val="22"/>
              </w:rPr>
              <w:t>4</w:t>
            </w:r>
          </w:p>
        </w:tc>
        <w:tc>
          <w:tcPr>
            <w:tcW w:w="1282" w:type="dxa"/>
            <w:tcBorders>
              <w:left w:val="single" w:sz="4" w:space="0" w:color="000000"/>
              <w:right w:val="single" w:sz="4" w:space="0" w:color="000000"/>
            </w:tcBorders>
          </w:tcPr>
          <w:p>
            <w:pPr>
              <w:pStyle w:val="TableParagraph"/>
              <w:spacing w:line="250" w:lineRule="exact"/>
              <w:rPr>
                <w:sz w:val="22"/>
              </w:rPr>
            </w:pPr>
            <w:r>
              <w:rPr>
                <w:sz w:val="22"/>
              </w:rPr>
              <w:t>1.060.377,3</w:t>
            </w:r>
          </w:p>
          <w:p>
            <w:pPr>
              <w:pStyle w:val="TableParagraph"/>
              <w:spacing w:line="231" w:lineRule="exact"/>
              <w:rPr>
                <w:sz w:val="22"/>
              </w:rPr>
            </w:pPr>
            <w:r>
              <w:rPr>
                <w:sz w:val="22"/>
              </w:rPr>
              <w:t>3</w:t>
            </w:r>
          </w:p>
        </w:tc>
        <w:tc>
          <w:tcPr>
            <w:tcW w:w="1280" w:type="dxa"/>
            <w:tcBorders>
              <w:left w:val="single" w:sz="4" w:space="0" w:color="000000"/>
              <w:right w:val="single" w:sz="4" w:space="0" w:color="000000"/>
            </w:tcBorders>
          </w:tcPr>
          <w:p>
            <w:pPr>
              <w:pStyle w:val="TableParagraph"/>
              <w:spacing w:line="250" w:lineRule="exact"/>
              <w:rPr>
                <w:sz w:val="22"/>
              </w:rPr>
            </w:pPr>
            <w:r>
              <w:rPr>
                <w:sz w:val="22"/>
              </w:rPr>
              <w:t>16.391,21</w:t>
            </w:r>
          </w:p>
        </w:tc>
        <w:tc>
          <w:tcPr>
            <w:tcW w:w="1598" w:type="dxa"/>
            <w:tcBorders>
              <w:left w:val="single" w:sz="4" w:space="0" w:color="000000"/>
              <w:right w:val="single" w:sz="4" w:space="0" w:color="000000"/>
            </w:tcBorders>
          </w:tcPr>
          <w:p>
            <w:pPr>
              <w:pStyle w:val="TableParagraph"/>
              <w:spacing w:line="250" w:lineRule="exact"/>
              <w:rPr>
                <w:sz w:val="22"/>
              </w:rPr>
            </w:pPr>
            <w:r>
              <w:rPr>
                <w:sz w:val="22"/>
              </w:rPr>
              <w:t>62,50</w:t>
            </w:r>
          </w:p>
        </w:tc>
        <w:tc>
          <w:tcPr>
            <w:tcW w:w="1078" w:type="dxa"/>
            <w:tcBorders>
              <w:left w:val="single" w:sz="4" w:space="0" w:color="000000"/>
              <w:right w:val="single" w:sz="4" w:space="0" w:color="000000"/>
            </w:tcBorders>
          </w:tcPr>
          <w:p>
            <w:pPr>
              <w:pStyle w:val="TableParagraph"/>
              <w:spacing w:line="250" w:lineRule="exact"/>
              <w:rPr>
                <w:sz w:val="22"/>
              </w:rPr>
            </w:pPr>
            <w:r>
              <w:rPr>
                <w:sz w:val="22"/>
              </w:rPr>
              <w:t>37,50%</w:t>
            </w:r>
          </w:p>
        </w:tc>
      </w:tr>
    </w:tbl>
    <w:p>
      <w:pPr>
        <w:pStyle w:val="BodyText"/>
        <w:rPr>
          <w:sz w:val="20"/>
        </w:rPr>
      </w:pPr>
    </w:p>
    <w:p>
      <w:pPr>
        <w:pStyle w:val="BodyText"/>
        <w:rPr>
          <w:sz w:val="20"/>
        </w:rPr>
      </w:pPr>
    </w:p>
    <w:p>
      <w:pPr>
        <w:pStyle w:val="BodyText"/>
        <w:spacing w:before="7"/>
        <w:rPr>
          <w:sz w:val="24"/>
        </w:rPr>
      </w:pPr>
      <w:r>
        <w:rPr/>
        <w:pict>
          <v:line style="position:absolute;mso-position-horizontal-relative:page;mso-position-vertical-relative:paragraph;z-index:1264;mso-wrap-distance-left:0;mso-wrap-distance-right:0" from="85.099998pt,16.351954pt" to="510.199998pt,16.351954pt" stroked="true" strokeweight=".5pt" strokecolor="#000000">
            <v:stroke dashstyle="solid"/>
            <w10:wrap type="topAndBottom"/>
          </v:line>
        </w:pict>
      </w:r>
    </w:p>
    <w:p>
      <w:pPr>
        <w:pStyle w:val="Heading1"/>
        <w:spacing w:before="71"/>
        <w:ind w:right="3137"/>
        <w:jc w:val="center"/>
      </w:pPr>
      <w:r>
        <w:rPr/>
        <w:t>Concello de Ortigueira</w:t>
      </w:r>
    </w:p>
    <w:p>
      <w:pPr>
        <w:spacing w:before="121"/>
        <w:ind w:left="2709" w:right="3137" w:firstLine="0"/>
        <w:jc w:val="center"/>
        <w:rPr>
          <w:sz w:val="16"/>
        </w:rPr>
      </w:pPr>
      <w:r>
        <w:rPr>
          <w:sz w:val="16"/>
        </w:rPr>
        <w:t>Plaza de Isabel II, s/n, Ortigueira. 15330 A Coruña. Tfno. 981400000. Fax: 981402536</w:t>
      </w:r>
    </w:p>
    <w:p>
      <w:pPr>
        <w:spacing w:after="0"/>
        <w:jc w:val="center"/>
        <w:rPr>
          <w:sz w:val="16"/>
        </w:rPr>
        <w:sectPr>
          <w:pgSz w:w="11900" w:h="16840"/>
          <w:pgMar w:header="710" w:footer="0" w:top="2240" w:bottom="0" w:left="440" w:right="0"/>
        </w:sectPr>
      </w:pPr>
    </w:p>
    <w:p>
      <w:pPr>
        <w:pStyle w:val="BodyText"/>
        <w:spacing w:before="10"/>
        <w:rPr>
          <w:sz w:val="9"/>
        </w:rPr>
      </w:pPr>
    </w:p>
    <w:p>
      <w:pPr>
        <w:pStyle w:val="BodyText"/>
        <w:spacing w:before="91"/>
        <w:ind w:left="1264"/>
      </w:pPr>
      <w:r>
        <w:rPr/>
        <w:t>Aplicado ás previsións temos:</w:t>
      </w:r>
    </w:p>
    <w:p>
      <w:pPr>
        <w:pStyle w:val="BodyText"/>
        <w:spacing w:before="11"/>
        <w:rPr>
          <w:sz w:val="21"/>
        </w:rPr>
      </w:pPr>
    </w:p>
    <w:tbl>
      <w:tblPr>
        <w:tblW w:w="0" w:type="auto"/>
        <w:jc w:val="left"/>
        <w:tblInd w:w="11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60"/>
        <w:gridCol w:w="2162"/>
        <w:gridCol w:w="2160"/>
        <w:gridCol w:w="2172"/>
      </w:tblGrid>
      <w:tr>
        <w:trPr>
          <w:trHeight w:val="249" w:hRule="atLeast"/>
        </w:trPr>
        <w:tc>
          <w:tcPr>
            <w:tcW w:w="2160" w:type="dxa"/>
            <w:tcBorders>
              <w:left w:val="single" w:sz="4" w:space="0" w:color="000000"/>
              <w:right w:val="single" w:sz="4" w:space="0" w:color="000000"/>
            </w:tcBorders>
          </w:tcPr>
          <w:p>
            <w:pPr>
              <w:pStyle w:val="TableParagraph"/>
              <w:spacing w:line="229" w:lineRule="exact"/>
              <w:rPr>
                <w:sz w:val="22"/>
              </w:rPr>
            </w:pPr>
            <w:r>
              <w:rPr>
                <w:sz w:val="22"/>
              </w:rPr>
              <w:t>Capítulos</w:t>
            </w:r>
          </w:p>
        </w:tc>
        <w:tc>
          <w:tcPr>
            <w:tcW w:w="2162" w:type="dxa"/>
            <w:tcBorders>
              <w:left w:val="single" w:sz="4" w:space="0" w:color="000000"/>
              <w:right w:val="single" w:sz="4" w:space="0" w:color="000000"/>
            </w:tcBorders>
          </w:tcPr>
          <w:p>
            <w:pPr>
              <w:pStyle w:val="TableParagraph"/>
              <w:spacing w:line="229" w:lineRule="exact"/>
              <w:ind w:left="108"/>
              <w:rPr>
                <w:sz w:val="22"/>
              </w:rPr>
            </w:pPr>
            <w:r>
              <w:rPr>
                <w:sz w:val="22"/>
              </w:rPr>
              <w:t>Previsto 2017</w:t>
            </w:r>
          </w:p>
        </w:tc>
        <w:tc>
          <w:tcPr>
            <w:tcW w:w="2160" w:type="dxa"/>
            <w:tcBorders>
              <w:left w:val="single" w:sz="4" w:space="0" w:color="000000"/>
              <w:right w:val="single" w:sz="4" w:space="0" w:color="000000"/>
            </w:tcBorders>
          </w:tcPr>
          <w:p>
            <w:pPr>
              <w:pStyle w:val="TableParagraph"/>
              <w:spacing w:line="229" w:lineRule="exact"/>
              <w:ind w:left="108"/>
              <w:rPr>
                <w:sz w:val="22"/>
              </w:rPr>
            </w:pPr>
            <w:r>
              <w:rPr>
                <w:sz w:val="22"/>
              </w:rPr>
              <w:t>% Axuste</w:t>
            </w:r>
          </w:p>
        </w:tc>
        <w:tc>
          <w:tcPr>
            <w:tcW w:w="2172" w:type="dxa"/>
            <w:tcBorders>
              <w:left w:val="single" w:sz="4" w:space="0" w:color="000000"/>
              <w:right w:val="single" w:sz="4" w:space="0" w:color="000000"/>
            </w:tcBorders>
          </w:tcPr>
          <w:p>
            <w:pPr>
              <w:pStyle w:val="TableParagraph"/>
              <w:spacing w:line="229" w:lineRule="exact"/>
              <w:ind w:left="108"/>
              <w:rPr>
                <w:sz w:val="22"/>
              </w:rPr>
            </w:pPr>
            <w:r>
              <w:rPr>
                <w:sz w:val="22"/>
              </w:rPr>
              <w:t>Importe axuste</w:t>
            </w:r>
          </w:p>
        </w:tc>
      </w:tr>
      <w:tr>
        <w:trPr>
          <w:trHeight w:val="247" w:hRule="atLeast"/>
        </w:trPr>
        <w:tc>
          <w:tcPr>
            <w:tcW w:w="2160" w:type="dxa"/>
            <w:tcBorders>
              <w:left w:val="single" w:sz="4" w:space="0" w:color="000000"/>
              <w:right w:val="single" w:sz="4" w:space="0" w:color="000000"/>
            </w:tcBorders>
          </w:tcPr>
          <w:p>
            <w:pPr>
              <w:pStyle w:val="TableParagraph"/>
              <w:ind w:left="108"/>
              <w:rPr>
                <w:sz w:val="22"/>
              </w:rPr>
            </w:pPr>
            <w:r>
              <w:rPr>
                <w:sz w:val="22"/>
              </w:rPr>
              <w:t>1</w:t>
            </w:r>
          </w:p>
        </w:tc>
        <w:tc>
          <w:tcPr>
            <w:tcW w:w="2162" w:type="dxa"/>
            <w:tcBorders>
              <w:left w:val="single" w:sz="4" w:space="0" w:color="000000"/>
              <w:right w:val="single" w:sz="4" w:space="0" w:color="000000"/>
            </w:tcBorders>
          </w:tcPr>
          <w:p>
            <w:pPr>
              <w:pStyle w:val="TableParagraph"/>
              <w:ind w:left="108"/>
              <w:rPr>
                <w:sz w:val="22"/>
              </w:rPr>
            </w:pPr>
            <w:r>
              <w:rPr>
                <w:sz w:val="22"/>
              </w:rPr>
              <w:t>1.930.262,80</w:t>
            </w:r>
          </w:p>
        </w:tc>
        <w:tc>
          <w:tcPr>
            <w:tcW w:w="2160" w:type="dxa"/>
            <w:tcBorders>
              <w:left w:val="single" w:sz="4" w:space="0" w:color="000000"/>
              <w:right w:val="single" w:sz="4" w:space="0" w:color="000000"/>
            </w:tcBorders>
          </w:tcPr>
          <w:p>
            <w:pPr>
              <w:pStyle w:val="TableParagraph"/>
              <w:ind w:left="108"/>
              <w:rPr>
                <w:sz w:val="22"/>
              </w:rPr>
            </w:pPr>
            <w:r>
              <w:rPr>
                <w:sz w:val="22"/>
              </w:rPr>
              <w:t>3,5%</w:t>
            </w:r>
          </w:p>
        </w:tc>
        <w:tc>
          <w:tcPr>
            <w:tcW w:w="2172" w:type="dxa"/>
            <w:tcBorders>
              <w:left w:val="single" w:sz="4" w:space="0" w:color="000000"/>
              <w:right w:val="single" w:sz="4" w:space="0" w:color="000000"/>
            </w:tcBorders>
          </w:tcPr>
          <w:p>
            <w:pPr>
              <w:pStyle w:val="TableParagraph"/>
              <w:ind w:left="108"/>
              <w:rPr>
                <w:sz w:val="22"/>
              </w:rPr>
            </w:pPr>
            <w:r>
              <w:rPr>
                <w:sz w:val="22"/>
              </w:rPr>
              <w:t>-67.559,18</w:t>
            </w:r>
          </w:p>
        </w:tc>
      </w:tr>
      <w:tr>
        <w:trPr>
          <w:trHeight w:val="248" w:hRule="atLeast"/>
        </w:trPr>
        <w:tc>
          <w:tcPr>
            <w:tcW w:w="2160" w:type="dxa"/>
            <w:tcBorders>
              <w:left w:val="single" w:sz="4" w:space="0" w:color="000000"/>
              <w:right w:val="single" w:sz="4" w:space="0" w:color="000000"/>
            </w:tcBorders>
          </w:tcPr>
          <w:p>
            <w:pPr>
              <w:pStyle w:val="TableParagraph"/>
              <w:spacing w:line="229" w:lineRule="exact"/>
              <w:ind w:left="108"/>
              <w:rPr>
                <w:sz w:val="22"/>
              </w:rPr>
            </w:pPr>
            <w:r>
              <w:rPr>
                <w:sz w:val="22"/>
              </w:rPr>
              <w:t>2</w:t>
            </w:r>
          </w:p>
        </w:tc>
        <w:tc>
          <w:tcPr>
            <w:tcW w:w="2162" w:type="dxa"/>
            <w:tcBorders>
              <w:left w:val="single" w:sz="4" w:space="0" w:color="000000"/>
              <w:right w:val="single" w:sz="4" w:space="0" w:color="000000"/>
            </w:tcBorders>
          </w:tcPr>
          <w:p>
            <w:pPr>
              <w:pStyle w:val="TableParagraph"/>
              <w:spacing w:line="229" w:lineRule="exact"/>
              <w:ind w:left="108"/>
              <w:rPr>
                <w:sz w:val="22"/>
              </w:rPr>
            </w:pPr>
            <w:r>
              <w:rPr>
                <w:sz w:val="22"/>
              </w:rPr>
              <w:t>111.932,30</w:t>
            </w:r>
          </w:p>
        </w:tc>
        <w:tc>
          <w:tcPr>
            <w:tcW w:w="2160" w:type="dxa"/>
            <w:tcBorders>
              <w:left w:val="single" w:sz="4" w:space="0" w:color="000000"/>
              <w:right w:val="single" w:sz="4" w:space="0" w:color="000000"/>
            </w:tcBorders>
          </w:tcPr>
          <w:p>
            <w:pPr>
              <w:pStyle w:val="TableParagraph"/>
              <w:spacing w:line="229" w:lineRule="exact"/>
              <w:ind w:left="108"/>
              <w:rPr>
                <w:sz w:val="22"/>
              </w:rPr>
            </w:pPr>
            <w:r>
              <w:rPr>
                <w:sz w:val="22"/>
              </w:rPr>
              <w:t>44,30%</w:t>
            </w:r>
          </w:p>
        </w:tc>
        <w:tc>
          <w:tcPr>
            <w:tcW w:w="2172" w:type="dxa"/>
            <w:tcBorders>
              <w:left w:val="single" w:sz="4" w:space="0" w:color="000000"/>
              <w:right w:val="single" w:sz="4" w:space="0" w:color="000000"/>
            </w:tcBorders>
          </w:tcPr>
          <w:p>
            <w:pPr>
              <w:pStyle w:val="TableParagraph"/>
              <w:spacing w:line="229" w:lineRule="exact"/>
              <w:ind w:left="108"/>
              <w:rPr>
                <w:sz w:val="22"/>
              </w:rPr>
            </w:pPr>
            <w:r>
              <w:rPr>
                <w:sz w:val="22"/>
              </w:rPr>
              <w:t>-49.586,01</w:t>
            </w:r>
          </w:p>
        </w:tc>
      </w:tr>
      <w:tr>
        <w:trPr>
          <w:trHeight w:val="247" w:hRule="atLeast"/>
        </w:trPr>
        <w:tc>
          <w:tcPr>
            <w:tcW w:w="2160" w:type="dxa"/>
            <w:tcBorders>
              <w:left w:val="single" w:sz="4" w:space="0" w:color="000000"/>
              <w:right w:val="single" w:sz="4" w:space="0" w:color="000000"/>
            </w:tcBorders>
          </w:tcPr>
          <w:p>
            <w:pPr>
              <w:pStyle w:val="TableParagraph"/>
              <w:ind w:left="108"/>
              <w:rPr>
                <w:sz w:val="22"/>
              </w:rPr>
            </w:pPr>
            <w:r>
              <w:rPr>
                <w:sz w:val="22"/>
              </w:rPr>
              <w:t>3</w:t>
            </w:r>
          </w:p>
        </w:tc>
        <w:tc>
          <w:tcPr>
            <w:tcW w:w="2162" w:type="dxa"/>
            <w:tcBorders>
              <w:left w:val="single" w:sz="4" w:space="0" w:color="000000"/>
              <w:right w:val="single" w:sz="4" w:space="0" w:color="000000"/>
            </w:tcBorders>
          </w:tcPr>
          <w:p>
            <w:pPr>
              <w:pStyle w:val="TableParagraph"/>
              <w:ind w:left="108"/>
              <w:rPr>
                <w:sz w:val="22"/>
              </w:rPr>
            </w:pPr>
            <w:r>
              <w:rPr>
                <w:sz w:val="22"/>
              </w:rPr>
              <w:t>897.223,58</w:t>
            </w:r>
          </w:p>
        </w:tc>
        <w:tc>
          <w:tcPr>
            <w:tcW w:w="2160" w:type="dxa"/>
            <w:tcBorders>
              <w:left w:val="single" w:sz="4" w:space="0" w:color="000000"/>
              <w:right w:val="single" w:sz="4" w:space="0" w:color="000000"/>
            </w:tcBorders>
          </w:tcPr>
          <w:p>
            <w:pPr>
              <w:pStyle w:val="TableParagraph"/>
              <w:ind w:left="108"/>
              <w:rPr>
                <w:sz w:val="22"/>
              </w:rPr>
            </w:pPr>
            <w:r>
              <w:rPr>
                <w:sz w:val="22"/>
              </w:rPr>
              <w:t>37,50%</w:t>
            </w:r>
          </w:p>
        </w:tc>
        <w:tc>
          <w:tcPr>
            <w:tcW w:w="2172" w:type="dxa"/>
            <w:tcBorders>
              <w:left w:val="single" w:sz="4" w:space="0" w:color="000000"/>
              <w:right w:val="single" w:sz="4" w:space="0" w:color="000000"/>
            </w:tcBorders>
          </w:tcPr>
          <w:p>
            <w:pPr>
              <w:pStyle w:val="TableParagraph"/>
              <w:ind w:left="108"/>
              <w:rPr>
                <w:sz w:val="22"/>
              </w:rPr>
            </w:pPr>
            <w:r>
              <w:rPr>
                <w:sz w:val="22"/>
              </w:rPr>
              <w:t>-336.458,84</w:t>
            </w:r>
          </w:p>
        </w:tc>
      </w:tr>
    </w:tbl>
    <w:p>
      <w:pPr>
        <w:pStyle w:val="BodyText"/>
        <w:spacing w:before="9"/>
        <w:rPr>
          <w:sz w:val="21"/>
        </w:rPr>
      </w:pPr>
    </w:p>
    <w:p>
      <w:pPr>
        <w:pStyle w:val="BodyText"/>
        <w:ind w:left="1263" w:right="1712"/>
        <w:jc w:val="both"/>
      </w:pPr>
      <w:r>
        <w:rPr/>
        <w:t>Non obstante, considérase necesario facer unha precisión en relación ao axuste sobre o capítulo 3.</w:t>
      </w:r>
    </w:p>
    <w:p>
      <w:pPr>
        <w:pStyle w:val="BodyText"/>
        <w:ind w:left="1263" w:right="1704"/>
        <w:jc w:val="both"/>
      </w:pPr>
      <w:r>
        <w:rPr/>
        <w:pict>
          <v:shape style="position:absolute;margin-left:535.991211pt;margin-top:7.312345pt;width:32.9pt;height:247.2pt;mso-position-horizontal-relative:page;mso-position-vertical-relative:paragraph;z-index:1408" type="#_x0000_t202" filled="false" stroked="false">
            <v:textbox inset="0,0,0,0" style="layout-flow:vertical;mso-layout-flow-alt:bottom-to-top">
              <w:txbxContent>
                <w:p>
                  <w:pPr>
                    <w:spacing w:line="417" w:lineRule="exact" w:before="20"/>
                    <w:ind w:left="20" w:right="0" w:firstLine="0"/>
                    <w:jc w:val="left"/>
                    <w:rPr>
                      <w:rFonts w:ascii="Tahoma"/>
                      <w:sz w:val="36"/>
                    </w:rPr>
                  </w:pPr>
                  <w:r>
                    <w:rPr>
                      <w:rFonts w:ascii="Tahoma"/>
                      <w:sz w:val="36"/>
                    </w:rPr>
                    <w:t>INFORMES DE INTERVENCION</w:t>
                  </w:r>
                </w:p>
                <w:p>
                  <w:pPr>
                    <w:spacing w:line="200" w:lineRule="exact" w:before="0"/>
                    <w:ind w:left="40" w:right="0" w:firstLine="0"/>
                    <w:jc w:val="left"/>
                    <w:rPr>
                      <w:rFonts w:ascii="Tahoma" w:hAnsi="Tahoma"/>
                      <w:sz w:val="18"/>
                    </w:rPr>
                  </w:pPr>
                  <w:r>
                    <w:rPr>
                      <w:rFonts w:ascii="Tahoma" w:hAnsi="Tahoma"/>
                      <w:sz w:val="18"/>
                    </w:rPr>
                    <w:t>Número: 2017-0002 Fecha: 13/01/2017</w:t>
                  </w:r>
                </w:p>
              </w:txbxContent>
            </v:textbox>
            <w10:wrap type="none"/>
          </v:shape>
        </w:pict>
      </w:r>
      <w:r>
        <w:rPr/>
        <w:t>De acordo cos datos da liquidación do 2015, a porcentaxe de recadación sobre as previsións iniciais é do 37,50%.</w:t>
      </w:r>
    </w:p>
    <w:p>
      <w:pPr>
        <w:pStyle w:val="BodyText"/>
        <w:ind w:left="1263" w:right="1703"/>
        <w:jc w:val="both"/>
      </w:pPr>
      <w:r>
        <w:rPr/>
        <w:t>Mais, dunha análise comparada das previsións iniciais do exercicio 2015 en capítulo 3, e as previsións iniciais en capítulo 3 do proxecto de orzamentos de 2017, temos que as últimas son case a metade das previstas en 2015 (1.722.223,34/897.223,58) e a dita diferencia se deriva fundamentalmente da distinta orzamentación da aplicación 399 no proxecto de orzamentos para 2017. Veremos a seguir a orzamentación comparativa de 2015 e 2017 e a xestión recadatoria:</w:t>
      </w:r>
    </w:p>
    <w:p>
      <w:pPr>
        <w:pStyle w:val="BodyText"/>
      </w:pPr>
    </w:p>
    <w:p>
      <w:pPr>
        <w:pStyle w:val="BodyText"/>
        <w:ind w:left="1263"/>
      </w:pPr>
      <w:r>
        <w:rPr/>
        <w:t>No exercicio 2015:</w:t>
      </w:r>
    </w:p>
    <w:p>
      <w:pPr>
        <w:pStyle w:val="BodyText"/>
        <w:spacing w:before="1"/>
      </w:pPr>
    </w:p>
    <w:tbl>
      <w:tblPr>
        <w:tblW w:w="0" w:type="auto"/>
        <w:jc w:val="left"/>
        <w:tblInd w:w="11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056"/>
        <w:gridCol w:w="2620"/>
        <w:gridCol w:w="3054"/>
      </w:tblGrid>
      <w:tr>
        <w:trPr>
          <w:trHeight w:val="247" w:hRule="atLeast"/>
        </w:trPr>
        <w:tc>
          <w:tcPr>
            <w:tcW w:w="3056" w:type="dxa"/>
            <w:tcBorders>
              <w:left w:val="single" w:sz="4" w:space="0" w:color="000000"/>
              <w:right w:val="single" w:sz="4" w:space="0" w:color="000000"/>
            </w:tcBorders>
          </w:tcPr>
          <w:p>
            <w:pPr>
              <w:pStyle w:val="TableParagraph"/>
              <w:rPr>
                <w:sz w:val="22"/>
              </w:rPr>
            </w:pPr>
            <w:r>
              <w:rPr>
                <w:sz w:val="22"/>
              </w:rPr>
              <w:t>APLICACIÓN</w:t>
            </w:r>
          </w:p>
        </w:tc>
        <w:tc>
          <w:tcPr>
            <w:tcW w:w="2620" w:type="dxa"/>
            <w:tcBorders>
              <w:left w:val="single" w:sz="4" w:space="0" w:color="000000"/>
              <w:right w:val="single" w:sz="4" w:space="0" w:color="000000"/>
            </w:tcBorders>
          </w:tcPr>
          <w:p>
            <w:pPr>
              <w:pStyle w:val="TableParagraph"/>
              <w:ind w:left="108"/>
              <w:rPr>
                <w:sz w:val="22"/>
              </w:rPr>
            </w:pPr>
            <w:r>
              <w:rPr>
                <w:sz w:val="22"/>
              </w:rPr>
              <w:t>PREVISIONS INICIAIS</w:t>
            </w:r>
          </w:p>
        </w:tc>
        <w:tc>
          <w:tcPr>
            <w:tcW w:w="3054" w:type="dxa"/>
            <w:tcBorders>
              <w:left w:val="single" w:sz="4" w:space="0" w:color="000000"/>
              <w:right w:val="single" w:sz="4" w:space="0" w:color="000000"/>
            </w:tcBorders>
          </w:tcPr>
          <w:p>
            <w:pPr>
              <w:pStyle w:val="TableParagraph"/>
              <w:ind w:left="108"/>
              <w:rPr>
                <w:sz w:val="22"/>
              </w:rPr>
            </w:pPr>
            <w:r>
              <w:rPr>
                <w:sz w:val="22"/>
              </w:rPr>
              <w:t>RECADACIÓN</w:t>
            </w:r>
          </w:p>
        </w:tc>
      </w:tr>
      <w:tr>
        <w:trPr>
          <w:trHeight w:val="248" w:hRule="atLeast"/>
        </w:trPr>
        <w:tc>
          <w:tcPr>
            <w:tcW w:w="3056" w:type="dxa"/>
            <w:tcBorders>
              <w:left w:val="single" w:sz="4" w:space="0" w:color="000000"/>
              <w:right w:val="single" w:sz="4" w:space="0" w:color="000000"/>
            </w:tcBorders>
          </w:tcPr>
          <w:p>
            <w:pPr>
              <w:pStyle w:val="TableParagraph"/>
              <w:spacing w:line="229" w:lineRule="exact"/>
              <w:ind w:left="108"/>
              <w:rPr>
                <w:sz w:val="22"/>
              </w:rPr>
            </w:pPr>
            <w:r>
              <w:rPr>
                <w:sz w:val="22"/>
              </w:rPr>
              <w:t>39901</w:t>
            </w:r>
          </w:p>
        </w:tc>
        <w:tc>
          <w:tcPr>
            <w:tcW w:w="2620" w:type="dxa"/>
            <w:tcBorders>
              <w:left w:val="single" w:sz="4" w:space="0" w:color="000000"/>
              <w:right w:val="single" w:sz="4" w:space="0" w:color="000000"/>
            </w:tcBorders>
          </w:tcPr>
          <w:p>
            <w:pPr>
              <w:pStyle w:val="TableParagraph"/>
              <w:spacing w:line="229" w:lineRule="exact"/>
              <w:ind w:left="108"/>
              <w:rPr>
                <w:sz w:val="22"/>
              </w:rPr>
            </w:pPr>
            <w:r>
              <w:rPr>
                <w:sz w:val="22"/>
              </w:rPr>
              <w:t>10,00</w:t>
            </w:r>
          </w:p>
        </w:tc>
        <w:tc>
          <w:tcPr>
            <w:tcW w:w="3054" w:type="dxa"/>
            <w:tcBorders>
              <w:left w:val="single" w:sz="4" w:space="0" w:color="000000"/>
              <w:right w:val="single" w:sz="4" w:space="0" w:color="000000"/>
            </w:tcBorders>
          </w:tcPr>
          <w:p>
            <w:pPr>
              <w:pStyle w:val="TableParagraph"/>
              <w:spacing w:line="229" w:lineRule="exact"/>
              <w:ind w:left="108"/>
              <w:rPr>
                <w:sz w:val="22"/>
              </w:rPr>
            </w:pPr>
            <w:r>
              <w:rPr>
                <w:sz w:val="22"/>
              </w:rPr>
              <w:t>0,00</w:t>
            </w:r>
          </w:p>
        </w:tc>
      </w:tr>
      <w:tr>
        <w:trPr>
          <w:trHeight w:val="247" w:hRule="atLeast"/>
        </w:trPr>
        <w:tc>
          <w:tcPr>
            <w:tcW w:w="3056" w:type="dxa"/>
            <w:tcBorders>
              <w:left w:val="single" w:sz="4" w:space="0" w:color="000000"/>
              <w:right w:val="single" w:sz="4" w:space="0" w:color="000000"/>
            </w:tcBorders>
          </w:tcPr>
          <w:p>
            <w:pPr>
              <w:pStyle w:val="TableParagraph"/>
              <w:ind w:left="108"/>
              <w:rPr>
                <w:sz w:val="22"/>
              </w:rPr>
            </w:pPr>
            <w:r>
              <w:rPr>
                <w:sz w:val="22"/>
              </w:rPr>
              <w:t>39903</w:t>
            </w:r>
          </w:p>
        </w:tc>
        <w:tc>
          <w:tcPr>
            <w:tcW w:w="2620" w:type="dxa"/>
            <w:tcBorders>
              <w:left w:val="single" w:sz="4" w:space="0" w:color="000000"/>
              <w:right w:val="single" w:sz="4" w:space="0" w:color="000000"/>
            </w:tcBorders>
          </w:tcPr>
          <w:p>
            <w:pPr>
              <w:pStyle w:val="TableParagraph"/>
              <w:ind w:left="108"/>
              <w:rPr>
                <w:sz w:val="22"/>
              </w:rPr>
            </w:pPr>
            <w:r>
              <w:rPr>
                <w:sz w:val="22"/>
              </w:rPr>
              <w:t>82.200,00</w:t>
            </w:r>
          </w:p>
        </w:tc>
        <w:tc>
          <w:tcPr>
            <w:tcW w:w="3054" w:type="dxa"/>
            <w:tcBorders>
              <w:left w:val="single" w:sz="4" w:space="0" w:color="000000"/>
              <w:right w:val="single" w:sz="4" w:space="0" w:color="000000"/>
            </w:tcBorders>
          </w:tcPr>
          <w:p>
            <w:pPr>
              <w:pStyle w:val="TableParagraph"/>
              <w:ind w:left="108"/>
              <w:rPr>
                <w:sz w:val="22"/>
              </w:rPr>
            </w:pPr>
            <w:r>
              <w:rPr>
                <w:sz w:val="22"/>
              </w:rPr>
              <w:t>64.474,66</w:t>
            </w:r>
          </w:p>
        </w:tc>
      </w:tr>
      <w:tr>
        <w:trPr>
          <w:trHeight w:val="248" w:hRule="atLeast"/>
        </w:trPr>
        <w:tc>
          <w:tcPr>
            <w:tcW w:w="3056" w:type="dxa"/>
            <w:tcBorders>
              <w:left w:val="single" w:sz="4" w:space="0" w:color="000000"/>
              <w:right w:val="single" w:sz="4" w:space="0" w:color="000000"/>
            </w:tcBorders>
          </w:tcPr>
          <w:p>
            <w:pPr>
              <w:pStyle w:val="TableParagraph"/>
              <w:spacing w:line="229" w:lineRule="exact"/>
              <w:ind w:left="108"/>
              <w:rPr>
                <w:sz w:val="22"/>
              </w:rPr>
            </w:pPr>
            <w:r>
              <w:rPr>
                <w:sz w:val="22"/>
              </w:rPr>
              <w:t>39904</w:t>
            </w:r>
          </w:p>
        </w:tc>
        <w:tc>
          <w:tcPr>
            <w:tcW w:w="2620" w:type="dxa"/>
            <w:tcBorders>
              <w:left w:val="single" w:sz="4" w:space="0" w:color="000000"/>
              <w:right w:val="single" w:sz="4" w:space="0" w:color="000000"/>
            </w:tcBorders>
          </w:tcPr>
          <w:p>
            <w:pPr>
              <w:pStyle w:val="TableParagraph"/>
              <w:spacing w:line="229" w:lineRule="exact"/>
              <w:ind w:left="108"/>
              <w:rPr>
                <w:sz w:val="22"/>
              </w:rPr>
            </w:pPr>
            <w:r>
              <w:rPr>
                <w:sz w:val="22"/>
              </w:rPr>
              <w:t>797.928,22</w:t>
            </w:r>
          </w:p>
        </w:tc>
        <w:tc>
          <w:tcPr>
            <w:tcW w:w="3054" w:type="dxa"/>
            <w:tcBorders>
              <w:left w:val="single" w:sz="4" w:space="0" w:color="000000"/>
              <w:right w:val="single" w:sz="4" w:space="0" w:color="000000"/>
            </w:tcBorders>
          </w:tcPr>
          <w:p>
            <w:pPr>
              <w:pStyle w:val="TableParagraph"/>
              <w:spacing w:line="229" w:lineRule="exact"/>
              <w:ind w:left="108"/>
              <w:rPr>
                <w:sz w:val="22"/>
              </w:rPr>
            </w:pPr>
            <w:r>
              <w:rPr>
                <w:sz w:val="22"/>
              </w:rPr>
              <w:t>203.866,65</w:t>
            </w:r>
          </w:p>
        </w:tc>
      </w:tr>
    </w:tbl>
    <w:p>
      <w:pPr>
        <w:pStyle w:val="BodyText"/>
        <w:spacing w:before="9"/>
        <w:rPr>
          <w:sz w:val="21"/>
        </w:rPr>
      </w:pPr>
    </w:p>
    <w:p>
      <w:pPr>
        <w:pStyle w:val="BodyText"/>
        <w:ind w:left="1263"/>
      </w:pPr>
      <w:r>
        <w:rPr/>
        <w:t>No proxecto para o orzamento 2017:</w:t>
      </w:r>
    </w:p>
    <w:p>
      <w:pPr>
        <w:pStyle w:val="BodyText"/>
        <w:spacing w:before="11"/>
        <w:rPr>
          <w:sz w:val="21"/>
        </w:rPr>
      </w:pPr>
    </w:p>
    <w:tbl>
      <w:tblPr>
        <w:tblW w:w="0" w:type="auto"/>
        <w:jc w:val="left"/>
        <w:tblInd w:w="11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056"/>
        <w:gridCol w:w="2630"/>
      </w:tblGrid>
      <w:tr>
        <w:trPr>
          <w:trHeight w:val="249" w:hRule="atLeast"/>
        </w:trPr>
        <w:tc>
          <w:tcPr>
            <w:tcW w:w="3056" w:type="dxa"/>
            <w:tcBorders>
              <w:left w:val="single" w:sz="4" w:space="0" w:color="000000"/>
              <w:right w:val="single" w:sz="4" w:space="0" w:color="000000"/>
            </w:tcBorders>
          </w:tcPr>
          <w:p>
            <w:pPr>
              <w:pStyle w:val="TableParagraph"/>
              <w:spacing w:line="229" w:lineRule="exact"/>
              <w:rPr>
                <w:sz w:val="22"/>
              </w:rPr>
            </w:pPr>
            <w:r>
              <w:rPr>
                <w:sz w:val="22"/>
              </w:rPr>
              <w:t>APLICACIÓN</w:t>
            </w:r>
          </w:p>
        </w:tc>
        <w:tc>
          <w:tcPr>
            <w:tcW w:w="2630" w:type="dxa"/>
            <w:tcBorders>
              <w:left w:val="single" w:sz="4" w:space="0" w:color="000000"/>
              <w:right w:val="single" w:sz="4" w:space="0" w:color="000000"/>
            </w:tcBorders>
          </w:tcPr>
          <w:p>
            <w:pPr>
              <w:pStyle w:val="TableParagraph"/>
              <w:spacing w:line="229" w:lineRule="exact"/>
              <w:ind w:left="108"/>
              <w:rPr>
                <w:sz w:val="22"/>
              </w:rPr>
            </w:pPr>
            <w:r>
              <w:rPr>
                <w:sz w:val="22"/>
              </w:rPr>
              <w:t>PREVISIONS INICIAIS</w:t>
            </w:r>
          </w:p>
        </w:tc>
      </w:tr>
      <w:tr>
        <w:trPr>
          <w:trHeight w:val="246" w:hRule="atLeast"/>
        </w:trPr>
        <w:tc>
          <w:tcPr>
            <w:tcW w:w="3056" w:type="dxa"/>
            <w:tcBorders>
              <w:left w:val="single" w:sz="4" w:space="0" w:color="000000"/>
              <w:right w:val="single" w:sz="4" w:space="0" w:color="000000"/>
            </w:tcBorders>
          </w:tcPr>
          <w:p>
            <w:pPr>
              <w:pStyle w:val="TableParagraph"/>
              <w:ind w:left="108"/>
              <w:rPr>
                <w:sz w:val="22"/>
              </w:rPr>
            </w:pPr>
            <w:r>
              <w:rPr>
                <w:sz w:val="22"/>
              </w:rPr>
              <w:t>39900</w:t>
            </w:r>
          </w:p>
        </w:tc>
        <w:tc>
          <w:tcPr>
            <w:tcW w:w="2630" w:type="dxa"/>
            <w:tcBorders>
              <w:left w:val="single" w:sz="4" w:space="0" w:color="000000"/>
              <w:right w:val="single" w:sz="4" w:space="0" w:color="000000"/>
            </w:tcBorders>
          </w:tcPr>
          <w:p>
            <w:pPr>
              <w:pStyle w:val="TableParagraph"/>
              <w:ind w:left="108"/>
              <w:rPr>
                <w:sz w:val="22"/>
              </w:rPr>
            </w:pPr>
            <w:r>
              <w:rPr>
                <w:sz w:val="22"/>
              </w:rPr>
              <w:t>15.195,92</w:t>
            </w:r>
          </w:p>
        </w:tc>
      </w:tr>
    </w:tbl>
    <w:p>
      <w:pPr>
        <w:pStyle w:val="BodyText"/>
        <w:spacing w:before="9"/>
        <w:rPr>
          <w:sz w:val="21"/>
        </w:rPr>
      </w:pPr>
    </w:p>
    <w:p>
      <w:pPr>
        <w:pStyle w:val="BodyText"/>
        <w:ind w:left="1263" w:right="1705"/>
        <w:jc w:val="both"/>
      </w:pPr>
      <w:r>
        <w:rPr/>
        <w:drawing>
          <wp:anchor distT="0" distB="0" distL="0" distR="0" allowOverlap="1" layoutInCell="1" locked="0" behindDoc="0" simplePos="0" relativeHeight="1384">
            <wp:simplePos x="0" y="0"/>
            <wp:positionH relativeFrom="page">
              <wp:posOffset>6871850</wp:posOffset>
            </wp:positionH>
            <wp:positionV relativeFrom="paragraph">
              <wp:posOffset>94863</wp:posOffset>
            </wp:positionV>
            <wp:extent cx="328070" cy="3911600"/>
            <wp:effectExtent l="0" t="0" r="0" b="0"/>
            <wp:wrapNone/>
            <wp:docPr id="13" name="image3.png" descr=""/>
            <wp:cNvGraphicFramePr>
              <a:graphicFrameLocks noChangeAspect="1"/>
            </wp:cNvGraphicFramePr>
            <a:graphic>
              <a:graphicData uri="http://schemas.openxmlformats.org/drawingml/2006/picture">
                <pic:pic>
                  <pic:nvPicPr>
                    <pic:cNvPr id="14" name="image3.png"/>
                    <pic:cNvPicPr/>
                  </pic:nvPicPr>
                  <pic:blipFill>
                    <a:blip r:embed="rId7" cstate="print"/>
                    <a:stretch>
                      <a:fillRect/>
                    </a:stretch>
                  </pic:blipFill>
                  <pic:spPr>
                    <a:xfrm>
                      <a:off x="0" y="0"/>
                      <a:ext cx="328070" cy="3911600"/>
                    </a:xfrm>
                    <a:prstGeom prst="rect">
                      <a:avLst/>
                    </a:prstGeom>
                  </pic:spPr>
                </pic:pic>
              </a:graphicData>
            </a:graphic>
          </wp:anchor>
        </w:drawing>
      </w:r>
      <w:r>
        <w:rPr/>
        <w:pict>
          <v:shape style="position:absolute;margin-left:567.568359pt;margin-top:37.703503pt;width:14.75pt;height:279.8pt;mso-position-horizontal-relative:page;mso-position-vertical-relative:paragraph;z-index:1432" type="#_x0000_t202" filled="false" stroked="false">
            <v:textbox inset="0,0,0,0" style="layout-flow:vertical;mso-layout-flow-alt:bottom-to-top">
              <w:txbxContent>
                <w:p>
                  <w:pPr>
                    <w:spacing w:line="208" w:lineRule="auto" w:before="30"/>
                    <w:ind w:left="20" w:right="0" w:firstLine="0"/>
                    <w:jc w:val="left"/>
                    <w:rPr>
                      <w:rFonts w:ascii="Arial" w:hAnsi="Arial"/>
                      <w:sz w:val="12"/>
                    </w:rPr>
                  </w:pPr>
                  <w:r>
                    <w:rPr>
                      <w:rFonts w:ascii="Arial" w:hAnsi="Arial"/>
                      <w:sz w:val="12"/>
                    </w:rPr>
                    <w:t>Cód.</w:t>
                  </w:r>
                  <w:r>
                    <w:rPr>
                      <w:rFonts w:ascii="Arial" w:hAnsi="Arial"/>
                      <w:spacing w:val="-15"/>
                      <w:sz w:val="12"/>
                    </w:rPr>
                    <w:t> </w:t>
                  </w:r>
                  <w:r>
                    <w:rPr>
                      <w:rFonts w:ascii="Arial" w:hAnsi="Arial"/>
                      <w:sz w:val="12"/>
                    </w:rPr>
                    <w:t>Validación:</w:t>
                  </w:r>
                  <w:r>
                    <w:rPr>
                      <w:rFonts w:ascii="Arial" w:hAnsi="Arial"/>
                      <w:spacing w:val="-15"/>
                      <w:sz w:val="12"/>
                    </w:rPr>
                    <w:t> </w:t>
                  </w:r>
                  <w:r>
                    <w:rPr>
                      <w:rFonts w:ascii="Arial" w:hAnsi="Arial"/>
                      <w:sz w:val="12"/>
                    </w:rPr>
                    <w:t>3LDMQ24NCGAA6DTPYZDWAMMPG</w:t>
                  </w:r>
                  <w:r>
                    <w:rPr>
                      <w:rFonts w:ascii="Arial" w:hAnsi="Arial"/>
                      <w:spacing w:val="-15"/>
                      <w:sz w:val="12"/>
                    </w:rPr>
                    <w:t> </w:t>
                  </w:r>
                  <w:r>
                    <w:rPr>
                      <w:rFonts w:ascii="Arial" w:hAnsi="Arial"/>
                      <w:sz w:val="12"/>
                    </w:rPr>
                    <w:t>|</w:t>
                  </w:r>
                  <w:r>
                    <w:rPr>
                      <w:rFonts w:ascii="Arial" w:hAnsi="Arial"/>
                      <w:spacing w:val="-15"/>
                      <w:sz w:val="12"/>
                    </w:rPr>
                    <w:t> </w:t>
                  </w:r>
                  <w:r>
                    <w:rPr>
                      <w:rFonts w:ascii="Arial" w:hAnsi="Arial"/>
                      <w:sz w:val="12"/>
                    </w:rPr>
                    <w:t>Verificación:</w:t>
                  </w:r>
                  <w:hyperlink r:id="rId8">
                    <w:r>
                      <w:rPr>
                        <w:rFonts w:ascii="Arial" w:hAnsi="Arial"/>
                        <w:spacing w:val="-15"/>
                        <w:sz w:val="12"/>
                      </w:rPr>
                      <w:t> </w:t>
                    </w:r>
                    <w:r>
                      <w:rPr>
                        <w:rFonts w:ascii="Arial" w:hAnsi="Arial"/>
                        <w:sz w:val="12"/>
                      </w:rPr>
                      <w:t>http://ortigueira.sedelectronica.es/</w:t>
                    </w:r>
                  </w:hyperlink>
                  <w:r>
                    <w:rPr>
                      <w:rFonts w:ascii="Arial" w:hAnsi="Arial"/>
                      <w:sz w:val="12"/>
                    </w:rPr>
                    <w:t> Documento</w:t>
                  </w:r>
                  <w:r>
                    <w:rPr>
                      <w:rFonts w:ascii="Arial" w:hAnsi="Arial"/>
                      <w:spacing w:val="-3"/>
                      <w:sz w:val="12"/>
                    </w:rPr>
                    <w:t> </w:t>
                  </w:r>
                  <w:r>
                    <w:rPr>
                      <w:rFonts w:ascii="Arial" w:hAnsi="Arial"/>
                      <w:sz w:val="12"/>
                    </w:rPr>
                    <w:t>firmado</w:t>
                  </w:r>
                  <w:r>
                    <w:rPr>
                      <w:rFonts w:ascii="Arial" w:hAnsi="Arial"/>
                      <w:spacing w:val="-3"/>
                      <w:sz w:val="12"/>
                    </w:rPr>
                    <w:t> </w:t>
                  </w:r>
                  <w:r>
                    <w:rPr>
                      <w:rFonts w:ascii="Arial" w:hAnsi="Arial"/>
                      <w:sz w:val="12"/>
                    </w:rPr>
                    <w:t>electrónicamente</w:t>
                  </w:r>
                  <w:r>
                    <w:rPr>
                      <w:rFonts w:ascii="Arial" w:hAnsi="Arial"/>
                      <w:spacing w:val="-3"/>
                      <w:sz w:val="12"/>
                    </w:rPr>
                    <w:t> </w:t>
                  </w:r>
                  <w:r>
                    <w:rPr>
                      <w:rFonts w:ascii="Arial" w:hAnsi="Arial"/>
                      <w:sz w:val="12"/>
                    </w:rPr>
                    <w:t>desde</w:t>
                  </w:r>
                  <w:r>
                    <w:rPr>
                      <w:rFonts w:ascii="Arial" w:hAnsi="Arial"/>
                      <w:spacing w:val="-3"/>
                      <w:sz w:val="12"/>
                    </w:rPr>
                    <w:t> </w:t>
                  </w:r>
                  <w:r>
                    <w:rPr>
                      <w:rFonts w:ascii="Arial" w:hAnsi="Arial"/>
                      <w:sz w:val="12"/>
                    </w:rPr>
                    <w:t>la</w:t>
                  </w:r>
                  <w:r>
                    <w:rPr>
                      <w:rFonts w:ascii="Arial" w:hAnsi="Arial"/>
                      <w:spacing w:val="-3"/>
                      <w:sz w:val="12"/>
                    </w:rPr>
                    <w:t> </w:t>
                  </w:r>
                  <w:r>
                    <w:rPr>
                      <w:rFonts w:ascii="Arial" w:hAnsi="Arial"/>
                      <w:sz w:val="12"/>
                    </w:rPr>
                    <w:t>plataforma</w:t>
                  </w:r>
                  <w:r>
                    <w:rPr>
                      <w:rFonts w:ascii="Arial" w:hAnsi="Arial"/>
                      <w:spacing w:val="-3"/>
                      <w:sz w:val="12"/>
                    </w:rPr>
                    <w:t> </w:t>
                  </w:r>
                  <w:r>
                    <w:rPr>
                      <w:rFonts w:ascii="Arial" w:hAnsi="Arial"/>
                      <w:sz w:val="12"/>
                    </w:rPr>
                    <w:t>esPublico</w:t>
                  </w:r>
                  <w:r>
                    <w:rPr>
                      <w:rFonts w:ascii="Arial" w:hAnsi="Arial"/>
                      <w:spacing w:val="-3"/>
                      <w:sz w:val="12"/>
                    </w:rPr>
                    <w:t> </w:t>
                  </w:r>
                  <w:r>
                    <w:rPr>
                      <w:rFonts w:ascii="Arial" w:hAnsi="Arial"/>
                      <w:sz w:val="12"/>
                    </w:rPr>
                    <w:t>Gestiona</w:t>
                  </w:r>
                  <w:r>
                    <w:rPr>
                      <w:rFonts w:ascii="Arial" w:hAnsi="Arial"/>
                      <w:spacing w:val="-3"/>
                      <w:sz w:val="12"/>
                    </w:rPr>
                    <w:t> </w:t>
                  </w:r>
                  <w:r>
                    <w:rPr>
                      <w:rFonts w:ascii="Arial" w:hAnsi="Arial"/>
                      <w:sz w:val="12"/>
                    </w:rPr>
                    <w:t>|</w:t>
                  </w:r>
                  <w:r>
                    <w:rPr>
                      <w:rFonts w:ascii="Arial" w:hAnsi="Arial"/>
                      <w:spacing w:val="-3"/>
                      <w:sz w:val="12"/>
                    </w:rPr>
                    <w:t> </w:t>
                  </w:r>
                  <w:r>
                    <w:rPr>
                      <w:rFonts w:ascii="Arial" w:hAnsi="Arial"/>
                      <w:sz w:val="12"/>
                    </w:rPr>
                    <w:t>Página</w:t>
                  </w:r>
                  <w:r>
                    <w:rPr>
                      <w:rFonts w:ascii="Arial" w:hAnsi="Arial"/>
                      <w:spacing w:val="-3"/>
                      <w:sz w:val="12"/>
                    </w:rPr>
                    <w:t> </w:t>
                  </w:r>
                  <w:r>
                    <w:rPr>
                      <w:rFonts w:ascii="Arial" w:hAnsi="Arial"/>
                      <w:sz w:val="12"/>
                    </w:rPr>
                    <w:t>4</w:t>
                  </w:r>
                  <w:r>
                    <w:rPr>
                      <w:rFonts w:ascii="Arial" w:hAnsi="Arial"/>
                      <w:spacing w:val="-3"/>
                      <w:sz w:val="12"/>
                    </w:rPr>
                    <w:t> </w:t>
                  </w:r>
                  <w:r>
                    <w:rPr>
                      <w:rFonts w:ascii="Arial" w:hAnsi="Arial"/>
                      <w:sz w:val="12"/>
                    </w:rPr>
                    <w:t>de</w:t>
                  </w:r>
                  <w:r>
                    <w:rPr>
                      <w:rFonts w:ascii="Arial" w:hAnsi="Arial"/>
                      <w:spacing w:val="-3"/>
                      <w:sz w:val="12"/>
                    </w:rPr>
                    <w:t> </w:t>
                  </w:r>
                  <w:r>
                    <w:rPr>
                      <w:rFonts w:ascii="Arial" w:hAnsi="Arial"/>
                      <w:sz w:val="12"/>
                    </w:rPr>
                    <w:t>6</w:t>
                  </w:r>
                </w:p>
              </w:txbxContent>
            </v:textbox>
            <w10:wrap type="none"/>
          </v:shape>
        </w:pict>
      </w:r>
      <w:r>
        <w:rPr>
          <w:spacing w:val="-4"/>
        </w:rPr>
        <w:t>Tendo </w:t>
      </w:r>
      <w:r>
        <w:rPr/>
        <w:t>en conta que, se ben é obvio que non se pode coñecer o grado de recadación durante o exercicio 2017, sí que se pode facer unha estimación baseada en datos comparados de</w:t>
      </w:r>
      <w:r>
        <w:rPr>
          <w:spacing w:val="-34"/>
        </w:rPr>
        <w:t> </w:t>
      </w:r>
      <w:r>
        <w:rPr/>
        <w:t>exercicios precedentes pero sempre sobre a base de equidade ou similitude das situacións comparadas. </w:t>
      </w:r>
      <w:r>
        <w:rPr>
          <w:spacing w:val="-4"/>
        </w:rPr>
        <w:t>Tendo </w:t>
      </w:r>
      <w:r>
        <w:rPr/>
        <w:t>en conta que se descoñecemos a aplicación 399 do exercicio 2015 a porcentaxe seria a seguinte:</w:t>
      </w:r>
    </w:p>
    <w:p>
      <w:pPr>
        <w:pStyle w:val="BodyText"/>
        <w:spacing w:before="1"/>
      </w:pPr>
    </w:p>
    <w:tbl>
      <w:tblPr>
        <w:tblW w:w="0" w:type="auto"/>
        <w:jc w:val="left"/>
        <w:tblInd w:w="11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74"/>
        <w:gridCol w:w="1531"/>
        <w:gridCol w:w="1212"/>
        <w:gridCol w:w="1095"/>
        <w:gridCol w:w="2047"/>
        <w:gridCol w:w="1367"/>
      </w:tblGrid>
      <w:tr>
        <w:trPr>
          <w:trHeight w:val="752" w:hRule="atLeast"/>
        </w:trPr>
        <w:tc>
          <w:tcPr>
            <w:tcW w:w="1474" w:type="dxa"/>
            <w:vMerge w:val="restart"/>
            <w:tcBorders>
              <w:left w:val="single" w:sz="4" w:space="0" w:color="000000"/>
              <w:right w:val="single" w:sz="4" w:space="0" w:color="000000"/>
            </w:tcBorders>
          </w:tcPr>
          <w:p>
            <w:pPr>
              <w:pStyle w:val="TableParagraph"/>
              <w:spacing w:line="248" w:lineRule="exact"/>
              <w:rPr>
                <w:sz w:val="22"/>
              </w:rPr>
            </w:pPr>
            <w:r>
              <w:rPr>
                <w:sz w:val="22"/>
              </w:rPr>
              <w:t>Capitulos</w:t>
            </w:r>
          </w:p>
        </w:tc>
        <w:tc>
          <w:tcPr>
            <w:tcW w:w="1531" w:type="dxa"/>
            <w:vMerge w:val="restart"/>
            <w:tcBorders>
              <w:left w:val="single" w:sz="4" w:space="0" w:color="000000"/>
              <w:right w:val="single" w:sz="4" w:space="0" w:color="000000"/>
            </w:tcBorders>
          </w:tcPr>
          <w:p>
            <w:pPr>
              <w:pStyle w:val="TableParagraph"/>
              <w:spacing w:line="248" w:lineRule="exact"/>
              <w:rPr>
                <w:sz w:val="22"/>
              </w:rPr>
            </w:pPr>
            <w:r>
              <w:rPr>
                <w:sz w:val="22"/>
              </w:rPr>
              <w:t>Previsto 2015</w:t>
            </w:r>
          </w:p>
          <w:p>
            <w:pPr>
              <w:pStyle w:val="TableParagraph"/>
              <w:spacing w:line="240" w:lineRule="auto" w:before="1"/>
              <w:rPr>
                <w:sz w:val="22"/>
              </w:rPr>
            </w:pPr>
            <w:r>
              <w:rPr>
                <w:sz w:val="22"/>
              </w:rPr>
              <w:t>(sen 399)</w:t>
            </w:r>
          </w:p>
        </w:tc>
        <w:tc>
          <w:tcPr>
            <w:tcW w:w="2307" w:type="dxa"/>
            <w:gridSpan w:val="2"/>
            <w:tcBorders>
              <w:left w:val="single" w:sz="4" w:space="0" w:color="000000"/>
              <w:right w:val="single" w:sz="4" w:space="0" w:color="000000"/>
            </w:tcBorders>
          </w:tcPr>
          <w:p>
            <w:pPr>
              <w:pStyle w:val="TableParagraph"/>
              <w:tabs>
                <w:tab w:pos="1184" w:val="left" w:leader="none"/>
                <w:tab w:pos="1833" w:val="left" w:leader="none"/>
              </w:tabs>
              <w:spacing w:line="248" w:lineRule="exact"/>
              <w:ind w:left="110"/>
              <w:rPr>
                <w:sz w:val="22"/>
              </w:rPr>
            </w:pPr>
            <w:r>
              <w:rPr>
                <w:sz w:val="22"/>
              </w:rPr>
              <w:t>Recadado</w:t>
              <w:tab/>
              <w:t>2015</w:t>
              <w:tab/>
              <w:t>(sen</w:t>
            </w:r>
          </w:p>
          <w:p>
            <w:pPr>
              <w:pStyle w:val="TableParagraph"/>
              <w:spacing w:line="240" w:lineRule="auto" w:before="1"/>
              <w:ind w:left="110"/>
              <w:rPr>
                <w:sz w:val="22"/>
              </w:rPr>
            </w:pPr>
            <w:r>
              <w:rPr>
                <w:sz w:val="22"/>
              </w:rPr>
              <w:t>399)</w:t>
            </w:r>
          </w:p>
        </w:tc>
        <w:tc>
          <w:tcPr>
            <w:tcW w:w="2047" w:type="dxa"/>
            <w:tcBorders>
              <w:left w:val="single" w:sz="4" w:space="0" w:color="000000"/>
              <w:right w:val="single" w:sz="4" w:space="0" w:color="000000"/>
            </w:tcBorders>
          </w:tcPr>
          <w:p>
            <w:pPr>
              <w:pStyle w:val="TableParagraph"/>
              <w:tabs>
                <w:tab w:pos="1382" w:val="left" w:leader="none"/>
              </w:tabs>
              <w:spacing w:line="248" w:lineRule="exact"/>
              <w:ind w:left="110"/>
              <w:rPr>
                <w:sz w:val="22"/>
              </w:rPr>
            </w:pPr>
            <w:r>
              <w:rPr>
                <w:sz w:val="22"/>
              </w:rPr>
              <w:t>%</w:t>
              <w:tab/>
              <w:t>axuste</w:t>
            </w:r>
          </w:p>
          <w:p>
            <w:pPr>
              <w:pStyle w:val="TableParagraph"/>
              <w:spacing w:line="252" w:lineRule="exact" w:before="5"/>
              <w:ind w:left="110" w:right="184"/>
              <w:rPr>
                <w:sz w:val="22"/>
              </w:rPr>
            </w:pPr>
            <w:r>
              <w:rPr>
                <w:sz w:val="22"/>
              </w:rPr>
              <w:t>recadación/previsio n</w:t>
            </w:r>
          </w:p>
        </w:tc>
        <w:tc>
          <w:tcPr>
            <w:tcW w:w="1367" w:type="dxa"/>
            <w:tcBorders>
              <w:left w:val="single" w:sz="4" w:space="0" w:color="000000"/>
              <w:right w:val="single" w:sz="4" w:space="0" w:color="000000"/>
            </w:tcBorders>
          </w:tcPr>
          <w:p>
            <w:pPr>
              <w:pStyle w:val="TableParagraph"/>
              <w:spacing w:line="248" w:lineRule="exact"/>
              <w:ind w:left="111"/>
              <w:rPr>
                <w:sz w:val="22"/>
              </w:rPr>
            </w:pPr>
            <w:r>
              <w:rPr>
                <w:sz w:val="22"/>
              </w:rPr>
              <w:t>% axuste</w:t>
            </w:r>
          </w:p>
        </w:tc>
      </w:tr>
      <w:tr>
        <w:trPr>
          <w:trHeight w:val="245" w:hRule="atLeast"/>
        </w:trPr>
        <w:tc>
          <w:tcPr>
            <w:tcW w:w="1474" w:type="dxa"/>
            <w:vMerge/>
            <w:tcBorders>
              <w:top w:val="nil"/>
              <w:left w:val="single" w:sz="4" w:space="0" w:color="000000"/>
              <w:right w:val="single" w:sz="4" w:space="0" w:color="000000"/>
            </w:tcBorders>
          </w:tcPr>
          <w:p>
            <w:pPr>
              <w:rPr>
                <w:sz w:val="2"/>
                <w:szCs w:val="2"/>
              </w:rPr>
            </w:pPr>
          </w:p>
        </w:tc>
        <w:tc>
          <w:tcPr>
            <w:tcW w:w="1531" w:type="dxa"/>
            <w:vMerge/>
            <w:tcBorders>
              <w:top w:val="nil"/>
              <w:left w:val="single" w:sz="4" w:space="0" w:color="000000"/>
              <w:right w:val="single" w:sz="4" w:space="0" w:color="000000"/>
            </w:tcBorders>
          </w:tcPr>
          <w:p>
            <w:pPr>
              <w:rPr>
                <w:sz w:val="2"/>
                <w:szCs w:val="2"/>
              </w:rPr>
            </w:pPr>
          </w:p>
        </w:tc>
        <w:tc>
          <w:tcPr>
            <w:tcW w:w="1212" w:type="dxa"/>
            <w:tcBorders>
              <w:left w:val="single" w:sz="4" w:space="0" w:color="000000"/>
              <w:right w:val="single" w:sz="4" w:space="0" w:color="000000"/>
            </w:tcBorders>
          </w:tcPr>
          <w:p>
            <w:pPr>
              <w:pStyle w:val="TableParagraph"/>
              <w:spacing w:line="225" w:lineRule="exact"/>
              <w:rPr>
                <w:sz w:val="22"/>
              </w:rPr>
            </w:pPr>
            <w:r>
              <w:rPr>
                <w:sz w:val="22"/>
              </w:rPr>
              <w:t>corrente</w:t>
            </w:r>
          </w:p>
        </w:tc>
        <w:tc>
          <w:tcPr>
            <w:tcW w:w="1095" w:type="dxa"/>
            <w:tcBorders>
              <w:left w:val="single" w:sz="4" w:space="0" w:color="000000"/>
              <w:right w:val="single" w:sz="4" w:space="0" w:color="000000"/>
            </w:tcBorders>
          </w:tcPr>
          <w:p>
            <w:pPr>
              <w:pStyle w:val="TableParagraph"/>
              <w:spacing w:line="225" w:lineRule="exact"/>
              <w:ind w:left="81"/>
              <w:rPr>
                <w:sz w:val="22"/>
              </w:rPr>
            </w:pPr>
            <w:r>
              <w:rPr>
                <w:sz w:val="22"/>
              </w:rPr>
              <w:t>pechados</w:t>
            </w:r>
          </w:p>
        </w:tc>
        <w:tc>
          <w:tcPr>
            <w:tcW w:w="2047" w:type="dxa"/>
            <w:tcBorders>
              <w:left w:val="single" w:sz="4" w:space="0" w:color="000000"/>
              <w:right w:val="single" w:sz="4" w:space="0" w:color="000000"/>
            </w:tcBorders>
          </w:tcPr>
          <w:p>
            <w:pPr>
              <w:pStyle w:val="TableParagraph"/>
              <w:spacing w:line="240" w:lineRule="auto"/>
              <w:ind w:left="0"/>
              <w:rPr>
                <w:sz w:val="16"/>
              </w:rPr>
            </w:pPr>
          </w:p>
        </w:tc>
        <w:tc>
          <w:tcPr>
            <w:tcW w:w="1367" w:type="dxa"/>
            <w:tcBorders>
              <w:left w:val="single" w:sz="4" w:space="0" w:color="000000"/>
              <w:right w:val="single" w:sz="4" w:space="0" w:color="000000"/>
            </w:tcBorders>
          </w:tcPr>
          <w:p>
            <w:pPr>
              <w:pStyle w:val="TableParagraph"/>
              <w:spacing w:line="240" w:lineRule="auto"/>
              <w:ind w:left="0"/>
              <w:rPr>
                <w:sz w:val="16"/>
              </w:rPr>
            </w:pPr>
          </w:p>
        </w:tc>
      </w:tr>
      <w:tr>
        <w:trPr>
          <w:trHeight w:val="500" w:hRule="atLeast"/>
        </w:trPr>
        <w:tc>
          <w:tcPr>
            <w:tcW w:w="1474" w:type="dxa"/>
            <w:tcBorders>
              <w:left w:val="single" w:sz="4" w:space="0" w:color="000000"/>
              <w:right w:val="single" w:sz="4" w:space="0" w:color="000000"/>
            </w:tcBorders>
          </w:tcPr>
          <w:p>
            <w:pPr>
              <w:pStyle w:val="TableParagraph"/>
              <w:spacing w:line="248" w:lineRule="exact"/>
              <w:ind w:left="108"/>
              <w:rPr>
                <w:sz w:val="22"/>
              </w:rPr>
            </w:pPr>
            <w:r>
              <w:rPr>
                <w:sz w:val="22"/>
              </w:rPr>
              <w:t>3</w:t>
            </w:r>
          </w:p>
        </w:tc>
        <w:tc>
          <w:tcPr>
            <w:tcW w:w="1531" w:type="dxa"/>
            <w:tcBorders>
              <w:left w:val="single" w:sz="4" w:space="0" w:color="000000"/>
              <w:right w:val="single" w:sz="4" w:space="0" w:color="000000"/>
            </w:tcBorders>
          </w:tcPr>
          <w:p>
            <w:pPr>
              <w:pStyle w:val="TableParagraph"/>
              <w:spacing w:line="248" w:lineRule="exact"/>
              <w:ind w:left="108"/>
              <w:rPr>
                <w:sz w:val="22"/>
              </w:rPr>
            </w:pPr>
            <w:r>
              <w:rPr>
                <w:sz w:val="22"/>
              </w:rPr>
              <w:t>842.095,12</w:t>
            </w:r>
          </w:p>
        </w:tc>
        <w:tc>
          <w:tcPr>
            <w:tcW w:w="1212" w:type="dxa"/>
            <w:tcBorders>
              <w:left w:val="single" w:sz="4" w:space="0" w:color="000000"/>
              <w:right w:val="single" w:sz="4" w:space="0" w:color="000000"/>
            </w:tcBorders>
          </w:tcPr>
          <w:p>
            <w:pPr>
              <w:pStyle w:val="TableParagraph"/>
              <w:spacing w:line="248" w:lineRule="exact"/>
              <w:rPr>
                <w:sz w:val="22"/>
              </w:rPr>
            </w:pPr>
            <w:r>
              <w:rPr>
                <w:sz w:val="22"/>
              </w:rPr>
              <w:t>792.036,02</w:t>
            </w:r>
          </w:p>
        </w:tc>
        <w:tc>
          <w:tcPr>
            <w:tcW w:w="1095" w:type="dxa"/>
            <w:tcBorders>
              <w:left w:val="single" w:sz="4" w:space="0" w:color="000000"/>
              <w:right w:val="single" w:sz="4" w:space="0" w:color="000000"/>
            </w:tcBorders>
          </w:tcPr>
          <w:p>
            <w:pPr>
              <w:pStyle w:val="TableParagraph"/>
              <w:spacing w:line="248" w:lineRule="exact"/>
              <w:rPr>
                <w:sz w:val="22"/>
              </w:rPr>
            </w:pPr>
            <w:r>
              <w:rPr>
                <w:sz w:val="22"/>
              </w:rPr>
              <w:t>16.391,2</w:t>
            </w:r>
          </w:p>
          <w:p>
            <w:pPr>
              <w:pStyle w:val="TableParagraph"/>
              <w:spacing w:line="232" w:lineRule="exact" w:before="1"/>
              <w:rPr>
                <w:sz w:val="22"/>
              </w:rPr>
            </w:pPr>
            <w:r>
              <w:rPr>
                <w:sz w:val="22"/>
              </w:rPr>
              <w:t>1</w:t>
            </w:r>
          </w:p>
        </w:tc>
        <w:tc>
          <w:tcPr>
            <w:tcW w:w="2047" w:type="dxa"/>
            <w:tcBorders>
              <w:left w:val="single" w:sz="4" w:space="0" w:color="000000"/>
              <w:right w:val="single" w:sz="4" w:space="0" w:color="000000"/>
            </w:tcBorders>
          </w:tcPr>
          <w:p>
            <w:pPr>
              <w:pStyle w:val="TableParagraph"/>
              <w:spacing w:line="248" w:lineRule="exact"/>
              <w:ind w:left="110"/>
              <w:rPr>
                <w:sz w:val="22"/>
              </w:rPr>
            </w:pPr>
            <w:r>
              <w:rPr>
                <w:sz w:val="22"/>
              </w:rPr>
              <w:t>96,00%</w:t>
            </w:r>
          </w:p>
        </w:tc>
        <w:tc>
          <w:tcPr>
            <w:tcW w:w="1367" w:type="dxa"/>
            <w:tcBorders>
              <w:left w:val="single" w:sz="4" w:space="0" w:color="000000"/>
              <w:right w:val="single" w:sz="4" w:space="0" w:color="000000"/>
            </w:tcBorders>
          </w:tcPr>
          <w:p>
            <w:pPr>
              <w:pStyle w:val="TableParagraph"/>
              <w:spacing w:line="248" w:lineRule="exact"/>
              <w:ind w:left="111"/>
              <w:rPr>
                <w:sz w:val="22"/>
              </w:rPr>
            </w:pPr>
            <w:r>
              <w:rPr>
                <w:sz w:val="22"/>
              </w:rPr>
              <w:t>4% (-)</w:t>
            </w:r>
          </w:p>
        </w:tc>
      </w:tr>
    </w:tbl>
    <w:p>
      <w:pPr>
        <w:pStyle w:val="BodyText"/>
        <w:spacing w:before="9"/>
        <w:rPr>
          <w:sz w:val="21"/>
        </w:rPr>
      </w:pPr>
    </w:p>
    <w:p>
      <w:pPr>
        <w:pStyle w:val="BodyText"/>
        <w:ind w:left="1263" w:right="1713"/>
        <w:jc w:val="both"/>
      </w:pPr>
      <w:r>
        <w:rPr/>
        <w:t>E se temos en conta os datos do avance da liquidación do 2016 serían os seguintes (tendo en conta que son datos provisionais):</w:t>
      </w:r>
    </w:p>
    <w:p>
      <w:pPr>
        <w:pStyle w:val="BodyText"/>
      </w:pPr>
    </w:p>
    <w:tbl>
      <w:tblPr>
        <w:tblW w:w="0" w:type="auto"/>
        <w:jc w:val="left"/>
        <w:tblInd w:w="11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74"/>
        <w:gridCol w:w="1531"/>
        <w:gridCol w:w="1184"/>
        <w:gridCol w:w="1124"/>
        <w:gridCol w:w="2048"/>
        <w:gridCol w:w="1368"/>
      </w:tblGrid>
      <w:tr>
        <w:trPr>
          <w:trHeight w:val="752" w:hRule="atLeast"/>
        </w:trPr>
        <w:tc>
          <w:tcPr>
            <w:tcW w:w="1474" w:type="dxa"/>
            <w:vMerge w:val="restart"/>
            <w:tcBorders>
              <w:left w:val="single" w:sz="4" w:space="0" w:color="000000"/>
              <w:right w:val="single" w:sz="4" w:space="0" w:color="000000"/>
            </w:tcBorders>
          </w:tcPr>
          <w:p>
            <w:pPr>
              <w:pStyle w:val="TableParagraph"/>
              <w:spacing w:line="248" w:lineRule="exact"/>
              <w:rPr>
                <w:sz w:val="22"/>
              </w:rPr>
            </w:pPr>
            <w:r>
              <w:rPr>
                <w:sz w:val="22"/>
              </w:rPr>
              <w:t>Capitulos</w:t>
            </w:r>
          </w:p>
        </w:tc>
        <w:tc>
          <w:tcPr>
            <w:tcW w:w="1531" w:type="dxa"/>
            <w:vMerge w:val="restart"/>
            <w:tcBorders>
              <w:left w:val="single" w:sz="4" w:space="0" w:color="000000"/>
              <w:right w:val="single" w:sz="4" w:space="0" w:color="000000"/>
            </w:tcBorders>
          </w:tcPr>
          <w:p>
            <w:pPr>
              <w:pStyle w:val="TableParagraph"/>
              <w:spacing w:line="248" w:lineRule="exact"/>
              <w:rPr>
                <w:sz w:val="22"/>
              </w:rPr>
            </w:pPr>
            <w:r>
              <w:rPr>
                <w:sz w:val="22"/>
              </w:rPr>
              <w:t>Previsto 2016</w:t>
            </w:r>
          </w:p>
          <w:p>
            <w:pPr>
              <w:pStyle w:val="TableParagraph"/>
              <w:spacing w:line="240" w:lineRule="auto" w:before="1"/>
              <w:rPr>
                <w:sz w:val="22"/>
              </w:rPr>
            </w:pPr>
            <w:r>
              <w:rPr>
                <w:sz w:val="22"/>
              </w:rPr>
              <w:t>(sen 399)</w:t>
            </w:r>
          </w:p>
        </w:tc>
        <w:tc>
          <w:tcPr>
            <w:tcW w:w="2308" w:type="dxa"/>
            <w:gridSpan w:val="2"/>
            <w:tcBorders>
              <w:left w:val="single" w:sz="4" w:space="0" w:color="000000"/>
              <w:right w:val="single" w:sz="4" w:space="0" w:color="000000"/>
            </w:tcBorders>
          </w:tcPr>
          <w:p>
            <w:pPr>
              <w:pStyle w:val="TableParagraph"/>
              <w:tabs>
                <w:tab w:pos="1184" w:val="left" w:leader="none"/>
                <w:tab w:pos="1834" w:val="left" w:leader="none"/>
              </w:tabs>
              <w:spacing w:line="248" w:lineRule="exact"/>
              <w:ind w:left="110"/>
              <w:rPr>
                <w:sz w:val="22"/>
              </w:rPr>
            </w:pPr>
            <w:r>
              <w:rPr>
                <w:sz w:val="22"/>
              </w:rPr>
              <w:t>Recadado</w:t>
              <w:tab/>
              <w:t>2016</w:t>
              <w:tab/>
              <w:t>(sen</w:t>
            </w:r>
          </w:p>
          <w:p>
            <w:pPr>
              <w:pStyle w:val="TableParagraph"/>
              <w:spacing w:line="240" w:lineRule="auto" w:before="1"/>
              <w:ind w:left="110"/>
              <w:rPr>
                <w:sz w:val="22"/>
              </w:rPr>
            </w:pPr>
            <w:r>
              <w:rPr>
                <w:sz w:val="22"/>
              </w:rPr>
              <w:t>399)</w:t>
            </w:r>
          </w:p>
        </w:tc>
        <w:tc>
          <w:tcPr>
            <w:tcW w:w="2048" w:type="dxa"/>
            <w:tcBorders>
              <w:left w:val="single" w:sz="4" w:space="0" w:color="000000"/>
              <w:right w:val="single" w:sz="4" w:space="0" w:color="000000"/>
            </w:tcBorders>
          </w:tcPr>
          <w:p>
            <w:pPr>
              <w:pStyle w:val="TableParagraph"/>
              <w:tabs>
                <w:tab w:pos="1381" w:val="left" w:leader="none"/>
              </w:tabs>
              <w:spacing w:line="248" w:lineRule="exact"/>
              <w:ind w:left="110"/>
              <w:rPr>
                <w:sz w:val="22"/>
              </w:rPr>
            </w:pPr>
            <w:r>
              <w:rPr>
                <w:sz w:val="22"/>
              </w:rPr>
              <w:t>%</w:t>
              <w:tab/>
              <w:t>axuste</w:t>
            </w:r>
          </w:p>
          <w:p>
            <w:pPr>
              <w:pStyle w:val="TableParagraph"/>
              <w:spacing w:line="252" w:lineRule="exact" w:before="5"/>
              <w:ind w:left="110" w:right="115"/>
              <w:rPr>
                <w:sz w:val="22"/>
              </w:rPr>
            </w:pPr>
            <w:r>
              <w:rPr>
                <w:sz w:val="22"/>
              </w:rPr>
              <w:t>recadación/previsio n</w:t>
            </w:r>
          </w:p>
        </w:tc>
        <w:tc>
          <w:tcPr>
            <w:tcW w:w="1368" w:type="dxa"/>
            <w:tcBorders>
              <w:left w:val="single" w:sz="4" w:space="0" w:color="000000"/>
              <w:right w:val="single" w:sz="4" w:space="0" w:color="000000"/>
            </w:tcBorders>
          </w:tcPr>
          <w:p>
            <w:pPr>
              <w:pStyle w:val="TableParagraph"/>
              <w:spacing w:line="248" w:lineRule="exact"/>
              <w:ind w:left="110"/>
              <w:rPr>
                <w:sz w:val="22"/>
              </w:rPr>
            </w:pPr>
            <w:r>
              <w:rPr>
                <w:sz w:val="22"/>
              </w:rPr>
              <w:t>% axuste</w:t>
            </w:r>
          </w:p>
        </w:tc>
      </w:tr>
      <w:tr>
        <w:trPr>
          <w:trHeight w:val="245" w:hRule="atLeast"/>
        </w:trPr>
        <w:tc>
          <w:tcPr>
            <w:tcW w:w="1474" w:type="dxa"/>
            <w:vMerge/>
            <w:tcBorders>
              <w:top w:val="nil"/>
              <w:left w:val="single" w:sz="4" w:space="0" w:color="000000"/>
              <w:right w:val="single" w:sz="4" w:space="0" w:color="000000"/>
            </w:tcBorders>
          </w:tcPr>
          <w:p>
            <w:pPr>
              <w:rPr>
                <w:sz w:val="2"/>
                <w:szCs w:val="2"/>
              </w:rPr>
            </w:pPr>
          </w:p>
        </w:tc>
        <w:tc>
          <w:tcPr>
            <w:tcW w:w="1531" w:type="dxa"/>
            <w:vMerge/>
            <w:tcBorders>
              <w:top w:val="nil"/>
              <w:left w:val="single" w:sz="4" w:space="0" w:color="000000"/>
              <w:right w:val="single" w:sz="4" w:space="0" w:color="000000"/>
            </w:tcBorders>
          </w:tcPr>
          <w:p>
            <w:pPr>
              <w:rPr>
                <w:sz w:val="2"/>
                <w:szCs w:val="2"/>
              </w:rPr>
            </w:pPr>
          </w:p>
        </w:tc>
        <w:tc>
          <w:tcPr>
            <w:tcW w:w="1184" w:type="dxa"/>
            <w:tcBorders>
              <w:left w:val="single" w:sz="4" w:space="0" w:color="000000"/>
              <w:right w:val="single" w:sz="4" w:space="0" w:color="000000"/>
            </w:tcBorders>
          </w:tcPr>
          <w:p>
            <w:pPr>
              <w:pStyle w:val="TableParagraph"/>
              <w:spacing w:line="225" w:lineRule="exact"/>
              <w:rPr>
                <w:sz w:val="22"/>
              </w:rPr>
            </w:pPr>
            <w:r>
              <w:rPr>
                <w:sz w:val="22"/>
              </w:rPr>
              <w:t>corrente</w:t>
            </w:r>
          </w:p>
        </w:tc>
        <w:tc>
          <w:tcPr>
            <w:tcW w:w="1124" w:type="dxa"/>
            <w:tcBorders>
              <w:left w:val="single" w:sz="4" w:space="0" w:color="000000"/>
              <w:right w:val="single" w:sz="4" w:space="0" w:color="000000"/>
            </w:tcBorders>
          </w:tcPr>
          <w:p>
            <w:pPr>
              <w:pStyle w:val="TableParagraph"/>
              <w:spacing w:line="225" w:lineRule="exact"/>
              <w:rPr>
                <w:sz w:val="22"/>
              </w:rPr>
            </w:pPr>
            <w:r>
              <w:rPr>
                <w:sz w:val="22"/>
              </w:rPr>
              <w:t>pechados</w:t>
            </w:r>
          </w:p>
        </w:tc>
        <w:tc>
          <w:tcPr>
            <w:tcW w:w="2048" w:type="dxa"/>
            <w:tcBorders>
              <w:left w:val="single" w:sz="4" w:space="0" w:color="000000"/>
              <w:right w:val="single" w:sz="4" w:space="0" w:color="000000"/>
            </w:tcBorders>
          </w:tcPr>
          <w:p>
            <w:pPr>
              <w:pStyle w:val="TableParagraph"/>
              <w:spacing w:line="240" w:lineRule="auto"/>
              <w:ind w:left="0"/>
              <w:rPr>
                <w:sz w:val="16"/>
              </w:rPr>
            </w:pPr>
          </w:p>
        </w:tc>
        <w:tc>
          <w:tcPr>
            <w:tcW w:w="1368" w:type="dxa"/>
            <w:tcBorders>
              <w:left w:val="single" w:sz="4" w:space="0" w:color="000000"/>
              <w:right w:val="single" w:sz="4" w:space="0" w:color="000000"/>
            </w:tcBorders>
          </w:tcPr>
          <w:p>
            <w:pPr>
              <w:pStyle w:val="TableParagraph"/>
              <w:spacing w:line="240" w:lineRule="auto"/>
              <w:ind w:left="0"/>
              <w:rPr>
                <w:sz w:val="16"/>
              </w:rPr>
            </w:pPr>
          </w:p>
        </w:tc>
      </w:tr>
    </w:tbl>
    <w:p>
      <w:pPr>
        <w:pStyle w:val="BodyText"/>
        <w:rPr>
          <w:sz w:val="20"/>
        </w:rPr>
      </w:pPr>
    </w:p>
    <w:p>
      <w:pPr>
        <w:pStyle w:val="BodyText"/>
        <w:spacing w:before="11"/>
        <w:rPr>
          <w:sz w:val="12"/>
        </w:rPr>
      </w:pPr>
      <w:r>
        <w:rPr/>
        <w:pict>
          <v:line style="position:absolute;mso-position-horizontal-relative:page;mso-position-vertical-relative:paragraph;z-index:1360;mso-wrap-distance-left:0;mso-wrap-distance-right:0" from="85.099998pt,9.650976pt" to="510.199998pt,9.650976pt" stroked="true" strokeweight=".5pt" strokecolor="#000000">
            <v:stroke dashstyle="solid"/>
            <w10:wrap type="topAndBottom"/>
          </v:line>
        </w:pict>
      </w:r>
    </w:p>
    <w:p>
      <w:pPr>
        <w:pStyle w:val="Heading1"/>
        <w:spacing w:before="71"/>
        <w:ind w:right="3137"/>
        <w:jc w:val="center"/>
      </w:pPr>
      <w:r>
        <w:rPr/>
        <w:t>Concello de Ortigueira</w:t>
      </w:r>
    </w:p>
    <w:p>
      <w:pPr>
        <w:spacing w:before="121"/>
        <w:ind w:left="2709" w:right="3137" w:firstLine="0"/>
        <w:jc w:val="center"/>
        <w:rPr>
          <w:sz w:val="16"/>
        </w:rPr>
      </w:pPr>
      <w:r>
        <w:rPr>
          <w:sz w:val="16"/>
        </w:rPr>
        <w:t>Plaza de Isabel II, s/n, Ortigueira. 15330 A Coruña. Tfno. 981400000. Fax: 981402536</w:t>
      </w:r>
    </w:p>
    <w:p>
      <w:pPr>
        <w:spacing w:after="0"/>
        <w:jc w:val="center"/>
        <w:rPr>
          <w:sz w:val="16"/>
        </w:rPr>
        <w:sectPr>
          <w:pgSz w:w="11900" w:h="16840"/>
          <w:pgMar w:header="710" w:footer="0" w:top="2240" w:bottom="0" w:left="440" w:right="0"/>
        </w:sectPr>
      </w:pPr>
    </w:p>
    <w:p>
      <w:pPr>
        <w:pStyle w:val="BodyText"/>
        <w:spacing w:before="8"/>
        <w:rPr>
          <w:sz w:val="17"/>
        </w:rPr>
      </w:pPr>
    </w:p>
    <w:tbl>
      <w:tblPr>
        <w:tblW w:w="0" w:type="auto"/>
        <w:jc w:val="left"/>
        <w:tblInd w:w="11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74"/>
        <w:gridCol w:w="1532"/>
        <w:gridCol w:w="1212"/>
        <w:gridCol w:w="1096"/>
        <w:gridCol w:w="2048"/>
        <w:gridCol w:w="1368"/>
      </w:tblGrid>
      <w:tr>
        <w:trPr>
          <w:trHeight w:val="500" w:hRule="atLeast"/>
        </w:trPr>
        <w:tc>
          <w:tcPr>
            <w:tcW w:w="1474" w:type="dxa"/>
            <w:tcBorders>
              <w:left w:val="single" w:sz="4" w:space="0" w:color="000000"/>
              <w:right w:val="single" w:sz="4" w:space="0" w:color="000000"/>
            </w:tcBorders>
          </w:tcPr>
          <w:p>
            <w:pPr>
              <w:pStyle w:val="TableParagraph"/>
              <w:spacing w:line="250" w:lineRule="exact"/>
              <w:rPr>
                <w:sz w:val="22"/>
              </w:rPr>
            </w:pPr>
            <w:r>
              <w:rPr>
                <w:sz w:val="22"/>
              </w:rPr>
              <w:t>3</w:t>
            </w:r>
          </w:p>
        </w:tc>
        <w:tc>
          <w:tcPr>
            <w:tcW w:w="1532" w:type="dxa"/>
            <w:tcBorders>
              <w:left w:val="single" w:sz="4" w:space="0" w:color="000000"/>
              <w:right w:val="single" w:sz="4" w:space="0" w:color="000000"/>
            </w:tcBorders>
          </w:tcPr>
          <w:p>
            <w:pPr>
              <w:pStyle w:val="TableParagraph"/>
              <w:spacing w:line="250" w:lineRule="exact"/>
              <w:rPr>
                <w:sz w:val="22"/>
              </w:rPr>
            </w:pPr>
            <w:r>
              <w:rPr>
                <w:sz w:val="22"/>
              </w:rPr>
              <w:t>842.095,12</w:t>
            </w:r>
          </w:p>
        </w:tc>
        <w:tc>
          <w:tcPr>
            <w:tcW w:w="1212" w:type="dxa"/>
            <w:tcBorders>
              <w:left w:val="single" w:sz="4" w:space="0" w:color="000000"/>
              <w:right w:val="single" w:sz="4" w:space="0" w:color="000000"/>
            </w:tcBorders>
          </w:tcPr>
          <w:p>
            <w:pPr>
              <w:pStyle w:val="TableParagraph"/>
              <w:spacing w:line="250" w:lineRule="exact"/>
              <w:rPr>
                <w:sz w:val="22"/>
              </w:rPr>
            </w:pPr>
            <w:r>
              <w:rPr>
                <w:sz w:val="22"/>
              </w:rPr>
              <w:t>780.126,66</w:t>
            </w:r>
          </w:p>
        </w:tc>
        <w:tc>
          <w:tcPr>
            <w:tcW w:w="1096" w:type="dxa"/>
            <w:tcBorders>
              <w:left w:val="single" w:sz="4" w:space="0" w:color="000000"/>
              <w:right w:val="single" w:sz="4" w:space="0" w:color="000000"/>
            </w:tcBorders>
          </w:tcPr>
          <w:p>
            <w:pPr>
              <w:pStyle w:val="TableParagraph"/>
              <w:spacing w:line="250" w:lineRule="exact"/>
              <w:rPr>
                <w:sz w:val="22"/>
              </w:rPr>
            </w:pPr>
            <w:r>
              <w:rPr>
                <w:sz w:val="22"/>
              </w:rPr>
              <w:t>85.501,1</w:t>
            </w:r>
          </w:p>
          <w:p>
            <w:pPr>
              <w:pStyle w:val="TableParagraph"/>
              <w:spacing w:line="231" w:lineRule="exact"/>
              <w:rPr>
                <w:sz w:val="22"/>
              </w:rPr>
            </w:pPr>
            <w:r>
              <w:rPr>
                <w:sz w:val="22"/>
              </w:rPr>
              <w:t>3</w:t>
            </w:r>
          </w:p>
        </w:tc>
        <w:tc>
          <w:tcPr>
            <w:tcW w:w="2048" w:type="dxa"/>
            <w:tcBorders>
              <w:left w:val="single" w:sz="4" w:space="0" w:color="000000"/>
              <w:right w:val="single" w:sz="4" w:space="0" w:color="000000"/>
            </w:tcBorders>
          </w:tcPr>
          <w:p>
            <w:pPr>
              <w:pStyle w:val="TableParagraph"/>
              <w:spacing w:line="250" w:lineRule="exact"/>
              <w:rPr>
                <w:sz w:val="22"/>
              </w:rPr>
            </w:pPr>
            <w:r>
              <w:rPr>
                <w:sz w:val="22"/>
              </w:rPr>
              <w:t>102,8%</w:t>
            </w:r>
          </w:p>
        </w:tc>
        <w:tc>
          <w:tcPr>
            <w:tcW w:w="1368" w:type="dxa"/>
            <w:tcBorders>
              <w:left w:val="single" w:sz="4" w:space="0" w:color="000000"/>
              <w:right w:val="single" w:sz="4" w:space="0" w:color="000000"/>
            </w:tcBorders>
          </w:tcPr>
          <w:p>
            <w:pPr>
              <w:pStyle w:val="TableParagraph"/>
              <w:spacing w:line="250" w:lineRule="exact"/>
              <w:rPr>
                <w:sz w:val="22"/>
              </w:rPr>
            </w:pPr>
            <w:r>
              <w:rPr>
                <w:sz w:val="22"/>
              </w:rPr>
              <w:t>2,8% (+)</w:t>
            </w:r>
          </w:p>
        </w:tc>
      </w:tr>
    </w:tbl>
    <w:p>
      <w:pPr>
        <w:pStyle w:val="BodyText"/>
        <w:spacing w:before="10"/>
        <w:rPr>
          <w:sz w:val="13"/>
        </w:rPr>
      </w:pPr>
    </w:p>
    <w:p>
      <w:pPr>
        <w:pStyle w:val="BodyText"/>
        <w:spacing w:before="91"/>
        <w:ind w:left="1264" w:right="1704"/>
      </w:pPr>
      <w:r>
        <w:rPr/>
        <w:t>Parece excesivo facer un axuste dun 37,50% QUE SUPÓN CONSIDERAR QUE DOS 897.223,58€ ORZAMENtaDOS NO CAPÍTULO 3 SO SE VAN RECADAR 560.764,74</w:t>
      </w:r>
    </w:p>
    <w:p>
      <w:pPr>
        <w:pStyle w:val="BodyText"/>
        <w:ind w:left="1264" w:right="1704"/>
      </w:pPr>
      <w:r>
        <w:rPr/>
        <w:t>(897.223,58-336.458,84). Se ben os datos das últimas liquidacións indican que a recadación de 2015 no capítulo 3 foi de 808.427,23 e a de 2016 (provisional) foi de 865.627,79.</w:t>
      </w:r>
    </w:p>
    <w:p>
      <w:pPr>
        <w:pStyle w:val="BodyText"/>
        <w:spacing w:before="1"/>
      </w:pPr>
    </w:p>
    <w:p>
      <w:pPr>
        <w:pStyle w:val="BodyText"/>
        <w:ind w:left="1264" w:right="1701"/>
        <w:jc w:val="both"/>
      </w:pPr>
      <w:r>
        <w:rPr/>
        <w:pict>
          <v:shape style="position:absolute;margin-left:535.991211pt;margin-top:21.412319pt;width:32.9pt;height:247.2pt;mso-position-horizontal-relative:page;mso-position-vertical-relative:paragraph;z-index:1504" type="#_x0000_t202" filled="false" stroked="false">
            <v:textbox inset="0,0,0,0" style="layout-flow:vertical;mso-layout-flow-alt:bottom-to-top">
              <w:txbxContent>
                <w:p>
                  <w:pPr>
                    <w:spacing w:line="417" w:lineRule="exact" w:before="20"/>
                    <w:ind w:left="20" w:right="0" w:firstLine="0"/>
                    <w:jc w:val="left"/>
                    <w:rPr>
                      <w:rFonts w:ascii="Tahoma"/>
                      <w:sz w:val="36"/>
                    </w:rPr>
                  </w:pPr>
                  <w:r>
                    <w:rPr>
                      <w:rFonts w:ascii="Tahoma"/>
                      <w:sz w:val="36"/>
                    </w:rPr>
                    <w:t>INFORMES DE INTERVENCION</w:t>
                  </w:r>
                </w:p>
                <w:p>
                  <w:pPr>
                    <w:spacing w:line="200" w:lineRule="exact" w:before="0"/>
                    <w:ind w:left="40" w:right="0" w:firstLine="0"/>
                    <w:jc w:val="left"/>
                    <w:rPr>
                      <w:rFonts w:ascii="Tahoma" w:hAnsi="Tahoma"/>
                      <w:sz w:val="18"/>
                    </w:rPr>
                  </w:pPr>
                  <w:r>
                    <w:rPr>
                      <w:rFonts w:ascii="Tahoma" w:hAnsi="Tahoma"/>
                      <w:sz w:val="18"/>
                    </w:rPr>
                    <w:t>Número: 2017-0002 Fecha: 13/01/2017</w:t>
                  </w:r>
                </w:p>
              </w:txbxContent>
            </v:textbox>
            <w10:wrap type="none"/>
          </v:shape>
        </w:pict>
      </w:r>
      <w:r>
        <w:rPr/>
        <w:t>En consecuencia se propón facer un axuste aplicando os datos da recadación que se desprenden da liquidación de 2015, pero obviando a aplicación 399 e subdivisionarias polos motivos expostos. En consecuencia o axuste sería dun 4% á baixa.</w:t>
      </w:r>
    </w:p>
    <w:p>
      <w:pPr>
        <w:pStyle w:val="BodyText"/>
        <w:spacing w:before="11"/>
        <w:rPr>
          <w:sz w:val="21"/>
        </w:rPr>
      </w:pPr>
    </w:p>
    <w:tbl>
      <w:tblPr>
        <w:tblW w:w="0" w:type="auto"/>
        <w:jc w:val="left"/>
        <w:tblInd w:w="11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56"/>
        <w:gridCol w:w="2156"/>
        <w:gridCol w:w="2156"/>
        <w:gridCol w:w="2186"/>
      </w:tblGrid>
      <w:tr>
        <w:trPr>
          <w:trHeight w:val="249" w:hRule="atLeast"/>
        </w:trPr>
        <w:tc>
          <w:tcPr>
            <w:tcW w:w="2156" w:type="dxa"/>
            <w:tcBorders>
              <w:left w:val="single" w:sz="4" w:space="0" w:color="000000"/>
              <w:right w:val="single" w:sz="4" w:space="0" w:color="000000"/>
            </w:tcBorders>
          </w:tcPr>
          <w:p>
            <w:pPr>
              <w:pStyle w:val="TableParagraph"/>
              <w:spacing w:line="229" w:lineRule="exact"/>
              <w:rPr>
                <w:sz w:val="22"/>
              </w:rPr>
            </w:pPr>
            <w:r>
              <w:rPr>
                <w:sz w:val="22"/>
              </w:rPr>
              <w:t>Capítulos</w:t>
            </w:r>
          </w:p>
        </w:tc>
        <w:tc>
          <w:tcPr>
            <w:tcW w:w="2156" w:type="dxa"/>
            <w:tcBorders>
              <w:left w:val="single" w:sz="4" w:space="0" w:color="000000"/>
              <w:right w:val="single" w:sz="4" w:space="0" w:color="000000"/>
            </w:tcBorders>
          </w:tcPr>
          <w:p>
            <w:pPr>
              <w:pStyle w:val="TableParagraph"/>
              <w:spacing w:line="229" w:lineRule="exact"/>
              <w:ind w:left="108"/>
              <w:rPr>
                <w:sz w:val="22"/>
              </w:rPr>
            </w:pPr>
            <w:r>
              <w:rPr>
                <w:sz w:val="22"/>
              </w:rPr>
              <w:t>Previsto 2017</w:t>
            </w:r>
          </w:p>
        </w:tc>
        <w:tc>
          <w:tcPr>
            <w:tcW w:w="2156" w:type="dxa"/>
            <w:tcBorders>
              <w:left w:val="single" w:sz="4" w:space="0" w:color="000000"/>
              <w:right w:val="single" w:sz="4" w:space="0" w:color="000000"/>
            </w:tcBorders>
          </w:tcPr>
          <w:p>
            <w:pPr>
              <w:pStyle w:val="TableParagraph"/>
              <w:spacing w:line="229" w:lineRule="exact"/>
              <w:ind w:left="108"/>
              <w:rPr>
                <w:sz w:val="22"/>
              </w:rPr>
            </w:pPr>
            <w:r>
              <w:rPr>
                <w:sz w:val="22"/>
              </w:rPr>
              <w:t>% Axuste</w:t>
            </w:r>
          </w:p>
        </w:tc>
        <w:tc>
          <w:tcPr>
            <w:tcW w:w="2186" w:type="dxa"/>
            <w:tcBorders>
              <w:left w:val="single" w:sz="4" w:space="0" w:color="000000"/>
              <w:right w:val="single" w:sz="4" w:space="0" w:color="000000"/>
            </w:tcBorders>
          </w:tcPr>
          <w:p>
            <w:pPr>
              <w:pStyle w:val="TableParagraph"/>
              <w:spacing w:line="229" w:lineRule="exact"/>
              <w:ind w:left="108"/>
              <w:rPr>
                <w:sz w:val="22"/>
              </w:rPr>
            </w:pPr>
            <w:r>
              <w:rPr>
                <w:sz w:val="22"/>
              </w:rPr>
              <w:t>Importe axuste</w:t>
            </w:r>
          </w:p>
        </w:tc>
      </w:tr>
      <w:tr>
        <w:trPr>
          <w:trHeight w:val="250" w:hRule="atLeast"/>
        </w:trPr>
        <w:tc>
          <w:tcPr>
            <w:tcW w:w="2156" w:type="dxa"/>
            <w:tcBorders>
              <w:left w:val="single" w:sz="4" w:space="0" w:color="000000"/>
              <w:right w:val="single" w:sz="4" w:space="0" w:color="000000"/>
            </w:tcBorders>
          </w:tcPr>
          <w:p>
            <w:pPr>
              <w:pStyle w:val="TableParagraph"/>
              <w:spacing w:line="231" w:lineRule="exact"/>
              <w:rPr>
                <w:sz w:val="22"/>
              </w:rPr>
            </w:pPr>
            <w:r>
              <w:rPr>
                <w:sz w:val="22"/>
              </w:rPr>
              <w:t>3</w:t>
            </w:r>
          </w:p>
        </w:tc>
        <w:tc>
          <w:tcPr>
            <w:tcW w:w="2156" w:type="dxa"/>
            <w:tcBorders>
              <w:left w:val="single" w:sz="4" w:space="0" w:color="000000"/>
              <w:right w:val="single" w:sz="4" w:space="0" w:color="000000"/>
            </w:tcBorders>
          </w:tcPr>
          <w:p>
            <w:pPr>
              <w:pStyle w:val="TableParagraph"/>
              <w:spacing w:line="231" w:lineRule="exact"/>
              <w:rPr>
                <w:sz w:val="22"/>
              </w:rPr>
            </w:pPr>
            <w:r>
              <w:rPr>
                <w:sz w:val="22"/>
              </w:rPr>
              <w:t>897.223,53</w:t>
            </w:r>
          </w:p>
        </w:tc>
        <w:tc>
          <w:tcPr>
            <w:tcW w:w="2156" w:type="dxa"/>
            <w:tcBorders>
              <w:left w:val="single" w:sz="4" w:space="0" w:color="000000"/>
              <w:right w:val="single" w:sz="4" w:space="0" w:color="000000"/>
            </w:tcBorders>
          </w:tcPr>
          <w:p>
            <w:pPr>
              <w:pStyle w:val="TableParagraph"/>
              <w:spacing w:line="231" w:lineRule="exact"/>
              <w:rPr>
                <w:sz w:val="22"/>
              </w:rPr>
            </w:pPr>
            <w:r>
              <w:rPr>
                <w:sz w:val="22"/>
              </w:rPr>
              <w:t>4%</w:t>
            </w:r>
          </w:p>
        </w:tc>
        <w:tc>
          <w:tcPr>
            <w:tcW w:w="2186" w:type="dxa"/>
            <w:tcBorders>
              <w:left w:val="single" w:sz="4" w:space="0" w:color="000000"/>
              <w:right w:val="single" w:sz="4" w:space="0" w:color="000000"/>
            </w:tcBorders>
          </w:tcPr>
          <w:p>
            <w:pPr>
              <w:pStyle w:val="TableParagraph"/>
              <w:tabs>
                <w:tab w:pos="828" w:val="left" w:leader="none"/>
              </w:tabs>
              <w:spacing w:line="231" w:lineRule="exact"/>
              <w:ind w:left="469"/>
              <w:rPr>
                <w:sz w:val="22"/>
              </w:rPr>
            </w:pPr>
            <w:r>
              <w:rPr>
                <w:rFonts w:ascii="Trebuchet MS"/>
                <w:b/>
                <w:w w:val="105"/>
                <w:sz w:val="22"/>
              </w:rPr>
              <w:t>-</w:t>
              <w:tab/>
            </w:r>
            <w:r>
              <w:rPr>
                <w:w w:val="105"/>
                <w:sz w:val="22"/>
              </w:rPr>
              <w:t>35.888,94</w:t>
            </w:r>
          </w:p>
        </w:tc>
      </w:tr>
    </w:tbl>
    <w:p>
      <w:pPr>
        <w:pStyle w:val="BodyText"/>
        <w:spacing w:before="9"/>
        <w:rPr>
          <w:sz w:val="21"/>
        </w:rPr>
      </w:pPr>
    </w:p>
    <w:p>
      <w:pPr>
        <w:pStyle w:val="BodyText"/>
        <w:ind w:left="1264"/>
      </w:pPr>
      <w:r>
        <w:rPr/>
        <w:t>TOTAL AXUSTE NEGATIVO POR APLICACIÓN PRINCIPIO DE CAIXA: -153.034,13</w:t>
      </w:r>
    </w:p>
    <w:p>
      <w:pPr>
        <w:pStyle w:val="BodyText"/>
      </w:pPr>
    </w:p>
    <w:p>
      <w:pPr>
        <w:pStyle w:val="ListParagraph"/>
        <w:numPr>
          <w:ilvl w:val="0"/>
          <w:numId w:val="3"/>
        </w:numPr>
        <w:tabs>
          <w:tab w:pos="1538" w:val="left" w:leader="none"/>
        </w:tabs>
        <w:spacing w:line="240" w:lineRule="auto" w:before="0" w:after="0"/>
        <w:ind w:left="1537" w:right="0" w:hanging="273"/>
        <w:jc w:val="left"/>
        <w:rPr>
          <w:sz w:val="22"/>
        </w:rPr>
      </w:pPr>
      <w:r>
        <w:rPr>
          <w:sz w:val="22"/>
        </w:rPr>
        <w:t>GASTOS</w:t>
      </w:r>
      <w:r>
        <w:rPr>
          <w:spacing w:val="-1"/>
          <w:sz w:val="22"/>
        </w:rPr>
        <w:t> </w:t>
      </w:r>
      <w:r>
        <w:rPr>
          <w:sz w:val="22"/>
        </w:rPr>
        <w:t>:</w:t>
      </w:r>
    </w:p>
    <w:p>
      <w:pPr>
        <w:pStyle w:val="BodyText"/>
        <w:rPr>
          <w:sz w:val="24"/>
        </w:rPr>
      </w:pPr>
    </w:p>
    <w:p>
      <w:pPr>
        <w:pStyle w:val="BodyText"/>
        <w:spacing w:before="1"/>
        <w:rPr>
          <w:sz w:val="20"/>
        </w:rPr>
      </w:pPr>
    </w:p>
    <w:p>
      <w:pPr>
        <w:pStyle w:val="Heading1"/>
        <w:ind w:left="1318"/>
      </w:pPr>
      <w:r>
        <w:rPr/>
        <w:t>Gastos realizados no exercicio pendentes de aplicar a orzamento.</w:t>
      </w:r>
    </w:p>
    <w:p>
      <w:pPr>
        <w:pStyle w:val="BodyText"/>
        <w:rPr>
          <w:b/>
        </w:rPr>
      </w:pPr>
    </w:p>
    <w:p>
      <w:pPr>
        <w:pStyle w:val="BodyText"/>
        <w:ind w:left="1264" w:right="1697" w:firstLine="578"/>
        <w:jc w:val="both"/>
      </w:pPr>
      <w:r>
        <w:rPr/>
        <w:drawing>
          <wp:anchor distT="0" distB="0" distL="0" distR="0" allowOverlap="1" layoutInCell="1" locked="0" behindDoc="0" simplePos="0" relativeHeight="1480">
            <wp:simplePos x="0" y="0"/>
            <wp:positionH relativeFrom="page">
              <wp:posOffset>6871850</wp:posOffset>
            </wp:positionH>
            <wp:positionV relativeFrom="paragraph">
              <wp:posOffset>1267073</wp:posOffset>
            </wp:positionV>
            <wp:extent cx="328070" cy="3911600"/>
            <wp:effectExtent l="0" t="0" r="0" b="0"/>
            <wp:wrapNone/>
            <wp:docPr id="15" name="image3.png" descr=""/>
            <wp:cNvGraphicFramePr>
              <a:graphicFrameLocks noChangeAspect="1"/>
            </wp:cNvGraphicFramePr>
            <a:graphic>
              <a:graphicData uri="http://schemas.openxmlformats.org/drawingml/2006/picture">
                <pic:pic>
                  <pic:nvPicPr>
                    <pic:cNvPr id="16" name="image3.png"/>
                    <pic:cNvPicPr/>
                  </pic:nvPicPr>
                  <pic:blipFill>
                    <a:blip r:embed="rId7" cstate="print"/>
                    <a:stretch>
                      <a:fillRect/>
                    </a:stretch>
                  </pic:blipFill>
                  <pic:spPr>
                    <a:xfrm>
                      <a:off x="0" y="0"/>
                      <a:ext cx="328070" cy="3911600"/>
                    </a:xfrm>
                    <a:prstGeom prst="rect">
                      <a:avLst/>
                    </a:prstGeom>
                  </pic:spPr>
                </pic:pic>
              </a:graphicData>
            </a:graphic>
          </wp:anchor>
        </w:drawing>
      </w:r>
      <w:r>
        <w:rPr/>
        <w:t>Trátase dos gastos recollidos na conta 413 (tamén aínda que non se reflexaran contablemente), no haber polo importe dos pendentes de aplicar a 31 de decembro e no seu debe, polos aplicados ao longo do exercicio, procedentes do exercicio </w:t>
      </w:r>
      <w:r>
        <w:rPr>
          <w:spacing w:val="-3"/>
        </w:rPr>
        <w:t>anterior. </w:t>
      </w:r>
      <w:r>
        <w:rPr/>
        <w:t>Os primeiros aumentan o déficit en termos de contabilidade nacional, os segundos o minoran, pois xa o incrementaron o ano anterior e neste volven a incrementalo mediante a súa aplicación a presuposto, polo que debe compensarse esta dobre imputación aumentando o superávit. O cálculo a estas alturas das facturas que poden quedar la conta 413 correspondentes a gastos de 2016 que se imputarán a 2017 non se coñece con exactitude, toda vez que dado que estamos a 4 de xaneiro é moi previsible que se presenten aínda facturas que se correspondan con prestacións realizadas no</w:t>
      </w:r>
      <w:r>
        <w:rPr>
          <w:spacing w:val="-2"/>
        </w:rPr>
        <w:t> </w:t>
      </w:r>
      <w:r>
        <w:rPr/>
        <w:t>2016.</w:t>
      </w:r>
    </w:p>
    <w:p>
      <w:pPr>
        <w:pStyle w:val="BodyText"/>
        <w:ind w:left="1264" w:right="1704"/>
      </w:pPr>
      <w:r>
        <w:rPr/>
        <w:pict>
          <v:shape style="position:absolute;margin-left:567.568359pt;margin-top:3.503492pt;width:14.75pt;height:279.8pt;mso-position-horizontal-relative:page;mso-position-vertical-relative:paragraph;z-index:1528" type="#_x0000_t202" filled="false" stroked="false">
            <v:textbox inset="0,0,0,0" style="layout-flow:vertical;mso-layout-flow-alt:bottom-to-top">
              <w:txbxContent>
                <w:p>
                  <w:pPr>
                    <w:spacing w:line="208" w:lineRule="auto" w:before="30"/>
                    <w:ind w:left="20" w:right="0" w:firstLine="0"/>
                    <w:jc w:val="left"/>
                    <w:rPr>
                      <w:rFonts w:ascii="Arial" w:hAnsi="Arial"/>
                      <w:sz w:val="12"/>
                    </w:rPr>
                  </w:pPr>
                  <w:r>
                    <w:rPr>
                      <w:rFonts w:ascii="Arial" w:hAnsi="Arial"/>
                      <w:sz w:val="12"/>
                    </w:rPr>
                    <w:t>Cód.</w:t>
                  </w:r>
                  <w:r>
                    <w:rPr>
                      <w:rFonts w:ascii="Arial" w:hAnsi="Arial"/>
                      <w:spacing w:val="-15"/>
                      <w:sz w:val="12"/>
                    </w:rPr>
                    <w:t> </w:t>
                  </w:r>
                  <w:r>
                    <w:rPr>
                      <w:rFonts w:ascii="Arial" w:hAnsi="Arial"/>
                      <w:sz w:val="12"/>
                    </w:rPr>
                    <w:t>Validación:</w:t>
                  </w:r>
                  <w:r>
                    <w:rPr>
                      <w:rFonts w:ascii="Arial" w:hAnsi="Arial"/>
                      <w:spacing w:val="-15"/>
                      <w:sz w:val="12"/>
                    </w:rPr>
                    <w:t> </w:t>
                  </w:r>
                  <w:r>
                    <w:rPr>
                      <w:rFonts w:ascii="Arial" w:hAnsi="Arial"/>
                      <w:sz w:val="12"/>
                    </w:rPr>
                    <w:t>3LDMQ24NCGAA6DTPYZDWAMMPG</w:t>
                  </w:r>
                  <w:r>
                    <w:rPr>
                      <w:rFonts w:ascii="Arial" w:hAnsi="Arial"/>
                      <w:spacing w:val="-15"/>
                      <w:sz w:val="12"/>
                    </w:rPr>
                    <w:t> </w:t>
                  </w:r>
                  <w:r>
                    <w:rPr>
                      <w:rFonts w:ascii="Arial" w:hAnsi="Arial"/>
                      <w:sz w:val="12"/>
                    </w:rPr>
                    <w:t>|</w:t>
                  </w:r>
                  <w:r>
                    <w:rPr>
                      <w:rFonts w:ascii="Arial" w:hAnsi="Arial"/>
                      <w:spacing w:val="-15"/>
                      <w:sz w:val="12"/>
                    </w:rPr>
                    <w:t> </w:t>
                  </w:r>
                  <w:r>
                    <w:rPr>
                      <w:rFonts w:ascii="Arial" w:hAnsi="Arial"/>
                      <w:sz w:val="12"/>
                    </w:rPr>
                    <w:t>Verificación:</w:t>
                  </w:r>
                  <w:hyperlink r:id="rId8">
                    <w:r>
                      <w:rPr>
                        <w:rFonts w:ascii="Arial" w:hAnsi="Arial"/>
                        <w:spacing w:val="-15"/>
                        <w:sz w:val="12"/>
                      </w:rPr>
                      <w:t> </w:t>
                    </w:r>
                    <w:r>
                      <w:rPr>
                        <w:rFonts w:ascii="Arial" w:hAnsi="Arial"/>
                        <w:sz w:val="12"/>
                      </w:rPr>
                      <w:t>http://ortigueira.sedelectronica.es/</w:t>
                    </w:r>
                  </w:hyperlink>
                  <w:r>
                    <w:rPr>
                      <w:rFonts w:ascii="Arial" w:hAnsi="Arial"/>
                      <w:sz w:val="12"/>
                    </w:rPr>
                    <w:t> Documento</w:t>
                  </w:r>
                  <w:r>
                    <w:rPr>
                      <w:rFonts w:ascii="Arial" w:hAnsi="Arial"/>
                      <w:spacing w:val="-3"/>
                      <w:sz w:val="12"/>
                    </w:rPr>
                    <w:t> </w:t>
                  </w:r>
                  <w:r>
                    <w:rPr>
                      <w:rFonts w:ascii="Arial" w:hAnsi="Arial"/>
                      <w:sz w:val="12"/>
                    </w:rPr>
                    <w:t>firmado</w:t>
                  </w:r>
                  <w:r>
                    <w:rPr>
                      <w:rFonts w:ascii="Arial" w:hAnsi="Arial"/>
                      <w:spacing w:val="-3"/>
                      <w:sz w:val="12"/>
                    </w:rPr>
                    <w:t> </w:t>
                  </w:r>
                  <w:r>
                    <w:rPr>
                      <w:rFonts w:ascii="Arial" w:hAnsi="Arial"/>
                      <w:sz w:val="12"/>
                    </w:rPr>
                    <w:t>electrónicamente</w:t>
                  </w:r>
                  <w:r>
                    <w:rPr>
                      <w:rFonts w:ascii="Arial" w:hAnsi="Arial"/>
                      <w:spacing w:val="-3"/>
                      <w:sz w:val="12"/>
                    </w:rPr>
                    <w:t> </w:t>
                  </w:r>
                  <w:r>
                    <w:rPr>
                      <w:rFonts w:ascii="Arial" w:hAnsi="Arial"/>
                      <w:sz w:val="12"/>
                    </w:rPr>
                    <w:t>desde</w:t>
                  </w:r>
                  <w:r>
                    <w:rPr>
                      <w:rFonts w:ascii="Arial" w:hAnsi="Arial"/>
                      <w:spacing w:val="-3"/>
                      <w:sz w:val="12"/>
                    </w:rPr>
                    <w:t> </w:t>
                  </w:r>
                  <w:r>
                    <w:rPr>
                      <w:rFonts w:ascii="Arial" w:hAnsi="Arial"/>
                      <w:sz w:val="12"/>
                    </w:rPr>
                    <w:t>la</w:t>
                  </w:r>
                  <w:r>
                    <w:rPr>
                      <w:rFonts w:ascii="Arial" w:hAnsi="Arial"/>
                      <w:spacing w:val="-3"/>
                      <w:sz w:val="12"/>
                    </w:rPr>
                    <w:t> </w:t>
                  </w:r>
                  <w:r>
                    <w:rPr>
                      <w:rFonts w:ascii="Arial" w:hAnsi="Arial"/>
                      <w:sz w:val="12"/>
                    </w:rPr>
                    <w:t>plataforma</w:t>
                  </w:r>
                  <w:r>
                    <w:rPr>
                      <w:rFonts w:ascii="Arial" w:hAnsi="Arial"/>
                      <w:spacing w:val="-3"/>
                      <w:sz w:val="12"/>
                    </w:rPr>
                    <w:t> </w:t>
                  </w:r>
                  <w:r>
                    <w:rPr>
                      <w:rFonts w:ascii="Arial" w:hAnsi="Arial"/>
                      <w:sz w:val="12"/>
                    </w:rPr>
                    <w:t>esPublico</w:t>
                  </w:r>
                  <w:r>
                    <w:rPr>
                      <w:rFonts w:ascii="Arial" w:hAnsi="Arial"/>
                      <w:spacing w:val="-3"/>
                      <w:sz w:val="12"/>
                    </w:rPr>
                    <w:t> </w:t>
                  </w:r>
                  <w:r>
                    <w:rPr>
                      <w:rFonts w:ascii="Arial" w:hAnsi="Arial"/>
                      <w:sz w:val="12"/>
                    </w:rPr>
                    <w:t>Gestiona</w:t>
                  </w:r>
                  <w:r>
                    <w:rPr>
                      <w:rFonts w:ascii="Arial" w:hAnsi="Arial"/>
                      <w:spacing w:val="-3"/>
                      <w:sz w:val="12"/>
                    </w:rPr>
                    <w:t> </w:t>
                  </w:r>
                  <w:r>
                    <w:rPr>
                      <w:rFonts w:ascii="Arial" w:hAnsi="Arial"/>
                      <w:sz w:val="12"/>
                    </w:rPr>
                    <w:t>|</w:t>
                  </w:r>
                  <w:r>
                    <w:rPr>
                      <w:rFonts w:ascii="Arial" w:hAnsi="Arial"/>
                      <w:spacing w:val="-3"/>
                      <w:sz w:val="12"/>
                    </w:rPr>
                    <w:t> </w:t>
                  </w:r>
                  <w:r>
                    <w:rPr>
                      <w:rFonts w:ascii="Arial" w:hAnsi="Arial"/>
                      <w:sz w:val="12"/>
                    </w:rPr>
                    <w:t>Página</w:t>
                  </w:r>
                  <w:r>
                    <w:rPr>
                      <w:rFonts w:ascii="Arial" w:hAnsi="Arial"/>
                      <w:spacing w:val="-3"/>
                      <w:sz w:val="12"/>
                    </w:rPr>
                    <w:t> </w:t>
                  </w:r>
                  <w:r>
                    <w:rPr>
                      <w:rFonts w:ascii="Arial" w:hAnsi="Arial"/>
                      <w:sz w:val="12"/>
                    </w:rPr>
                    <w:t>5</w:t>
                  </w:r>
                  <w:r>
                    <w:rPr>
                      <w:rFonts w:ascii="Arial" w:hAnsi="Arial"/>
                      <w:spacing w:val="-3"/>
                      <w:sz w:val="12"/>
                    </w:rPr>
                    <w:t> </w:t>
                  </w:r>
                  <w:r>
                    <w:rPr>
                      <w:rFonts w:ascii="Arial" w:hAnsi="Arial"/>
                      <w:sz w:val="12"/>
                    </w:rPr>
                    <w:t>de</w:t>
                  </w:r>
                  <w:r>
                    <w:rPr>
                      <w:rFonts w:ascii="Arial" w:hAnsi="Arial"/>
                      <w:spacing w:val="-3"/>
                      <w:sz w:val="12"/>
                    </w:rPr>
                    <w:t> </w:t>
                  </w:r>
                  <w:r>
                    <w:rPr>
                      <w:rFonts w:ascii="Arial" w:hAnsi="Arial"/>
                      <w:sz w:val="12"/>
                    </w:rPr>
                    <w:t>6</w:t>
                  </w:r>
                </w:p>
              </w:txbxContent>
            </v:textbox>
            <w10:wrap type="none"/>
          </v:shape>
        </w:pict>
      </w:r>
      <w:r>
        <w:rPr/>
        <w:t>En consecuencia proponse a realización do presente axuste con motivo da liquidación do orzamento, momento no que se contará con datos certos.</w:t>
      </w:r>
    </w:p>
    <w:p>
      <w:pPr>
        <w:pStyle w:val="BodyText"/>
        <w:ind w:left="1264"/>
      </w:pPr>
      <w:r>
        <w:rPr/>
        <w:t>é estimativa posto que aínda no foron contabilizadas. Estímase polas facturas que se teñen</w:t>
      </w:r>
    </w:p>
    <w:p>
      <w:pPr>
        <w:pStyle w:val="BodyText"/>
      </w:pPr>
    </w:p>
    <w:p>
      <w:pPr>
        <w:pStyle w:val="BodyText"/>
        <w:ind w:left="1264" w:right="1704"/>
      </w:pPr>
      <w:r>
        <w:rPr/>
        <w:t>Unha vez realizados estes axustes sobre os saldos dos ingresos de carácter non financeiro, resulta o</w:t>
      </w:r>
      <w:r>
        <w:rPr>
          <w:spacing w:val="-3"/>
        </w:rPr>
        <w:t> </w:t>
      </w:r>
      <w:r>
        <w:rPr/>
        <w:t>seguinte:</w:t>
      </w:r>
    </w:p>
    <w:p>
      <w:pPr>
        <w:pStyle w:val="BodyText"/>
        <w:spacing w:before="1"/>
      </w:pPr>
    </w:p>
    <w:tbl>
      <w:tblPr>
        <w:tblW w:w="0" w:type="auto"/>
        <w:jc w:val="left"/>
        <w:tblInd w:w="11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590"/>
        <w:gridCol w:w="2062"/>
      </w:tblGrid>
      <w:tr>
        <w:trPr>
          <w:trHeight w:val="246" w:hRule="atLeast"/>
        </w:trPr>
        <w:tc>
          <w:tcPr>
            <w:tcW w:w="6590" w:type="dxa"/>
            <w:tcBorders>
              <w:left w:val="single" w:sz="4" w:space="0" w:color="000000"/>
              <w:right w:val="single" w:sz="4" w:space="0" w:color="000000"/>
            </w:tcBorders>
          </w:tcPr>
          <w:p>
            <w:pPr>
              <w:pStyle w:val="TableParagraph"/>
              <w:ind w:left="71"/>
              <w:rPr>
                <w:sz w:val="22"/>
              </w:rPr>
            </w:pPr>
            <w:r>
              <w:rPr>
                <w:sz w:val="22"/>
              </w:rPr>
              <w:t>Suma dereitos recoñecidos Cap. 1 a 7 do Orzamento de ingresos</w:t>
            </w:r>
          </w:p>
        </w:tc>
        <w:tc>
          <w:tcPr>
            <w:tcW w:w="2062" w:type="dxa"/>
            <w:tcBorders>
              <w:left w:val="single" w:sz="4" w:space="0" w:color="000000"/>
              <w:right w:val="single" w:sz="4" w:space="0" w:color="000000"/>
            </w:tcBorders>
          </w:tcPr>
          <w:p>
            <w:pPr>
              <w:pStyle w:val="TableParagraph"/>
              <w:ind w:left="453"/>
              <w:rPr>
                <w:sz w:val="22"/>
              </w:rPr>
            </w:pPr>
            <w:r>
              <w:rPr>
                <w:sz w:val="22"/>
              </w:rPr>
              <w:t>6.383.031,46</w:t>
            </w:r>
          </w:p>
        </w:tc>
      </w:tr>
      <w:tr>
        <w:trPr>
          <w:trHeight w:val="249" w:hRule="atLeast"/>
        </w:trPr>
        <w:tc>
          <w:tcPr>
            <w:tcW w:w="6590" w:type="dxa"/>
            <w:tcBorders>
              <w:left w:val="single" w:sz="4" w:space="0" w:color="000000"/>
              <w:right w:val="single" w:sz="4" w:space="0" w:color="000000"/>
            </w:tcBorders>
          </w:tcPr>
          <w:p>
            <w:pPr>
              <w:pStyle w:val="TableParagraph"/>
              <w:spacing w:line="229" w:lineRule="exact"/>
              <w:ind w:left="0" w:right="58"/>
              <w:jc w:val="right"/>
              <w:rPr>
                <w:sz w:val="22"/>
              </w:rPr>
            </w:pPr>
            <w:r>
              <w:rPr>
                <w:sz w:val="22"/>
              </w:rPr>
              <w:t>Axustes positivos</w:t>
            </w:r>
          </w:p>
        </w:tc>
        <w:tc>
          <w:tcPr>
            <w:tcW w:w="2062" w:type="dxa"/>
            <w:tcBorders>
              <w:left w:val="single" w:sz="4" w:space="0" w:color="000000"/>
              <w:right w:val="single" w:sz="4" w:space="0" w:color="000000"/>
            </w:tcBorders>
          </w:tcPr>
          <w:p>
            <w:pPr>
              <w:pStyle w:val="TableParagraph"/>
              <w:spacing w:line="229" w:lineRule="exact"/>
              <w:ind w:left="0" w:right="57"/>
              <w:jc w:val="right"/>
              <w:rPr>
                <w:sz w:val="22"/>
              </w:rPr>
            </w:pPr>
            <w:r>
              <w:rPr>
                <w:sz w:val="22"/>
              </w:rPr>
              <w:t>0,00</w:t>
            </w:r>
          </w:p>
        </w:tc>
      </w:tr>
      <w:tr>
        <w:trPr>
          <w:trHeight w:val="246" w:hRule="atLeast"/>
        </w:trPr>
        <w:tc>
          <w:tcPr>
            <w:tcW w:w="6590" w:type="dxa"/>
            <w:tcBorders>
              <w:left w:val="single" w:sz="4" w:space="0" w:color="000000"/>
              <w:right w:val="single" w:sz="4" w:space="0" w:color="000000"/>
            </w:tcBorders>
          </w:tcPr>
          <w:p>
            <w:pPr>
              <w:pStyle w:val="TableParagraph"/>
              <w:ind w:left="0" w:right="58"/>
              <w:jc w:val="right"/>
              <w:rPr>
                <w:sz w:val="22"/>
              </w:rPr>
            </w:pPr>
            <w:r>
              <w:rPr>
                <w:sz w:val="22"/>
              </w:rPr>
              <w:t>Axustes negativos</w:t>
            </w:r>
          </w:p>
        </w:tc>
        <w:tc>
          <w:tcPr>
            <w:tcW w:w="2062" w:type="dxa"/>
            <w:tcBorders>
              <w:left w:val="single" w:sz="4" w:space="0" w:color="000000"/>
              <w:right w:val="single" w:sz="4" w:space="0" w:color="000000"/>
            </w:tcBorders>
          </w:tcPr>
          <w:p>
            <w:pPr>
              <w:pStyle w:val="TableParagraph"/>
              <w:ind w:left="0" w:right="57"/>
              <w:jc w:val="right"/>
              <w:rPr>
                <w:sz w:val="22"/>
              </w:rPr>
            </w:pPr>
            <w:r>
              <w:rPr>
                <w:sz w:val="22"/>
              </w:rPr>
              <w:t>-153.034,13</w:t>
            </w:r>
          </w:p>
        </w:tc>
      </w:tr>
      <w:tr>
        <w:trPr>
          <w:trHeight w:val="248" w:hRule="atLeast"/>
        </w:trPr>
        <w:tc>
          <w:tcPr>
            <w:tcW w:w="6590" w:type="dxa"/>
            <w:tcBorders>
              <w:left w:val="single" w:sz="4" w:space="0" w:color="000000"/>
              <w:right w:val="single" w:sz="4" w:space="0" w:color="000000"/>
            </w:tcBorders>
          </w:tcPr>
          <w:p>
            <w:pPr>
              <w:pStyle w:val="TableParagraph"/>
              <w:spacing w:line="229" w:lineRule="exact"/>
              <w:ind w:left="71"/>
              <w:rPr>
                <w:sz w:val="22"/>
              </w:rPr>
            </w:pPr>
            <w:r>
              <w:rPr>
                <w:sz w:val="22"/>
              </w:rPr>
              <w:t>Suma obrigas recoñecidas Cap. 1 a 7 do Orzamento de gastos</w:t>
            </w:r>
          </w:p>
        </w:tc>
        <w:tc>
          <w:tcPr>
            <w:tcW w:w="2062" w:type="dxa"/>
            <w:tcBorders>
              <w:left w:val="single" w:sz="4" w:space="0" w:color="000000"/>
              <w:right w:val="single" w:sz="4" w:space="0" w:color="000000"/>
            </w:tcBorders>
          </w:tcPr>
          <w:p>
            <w:pPr>
              <w:pStyle w:val="TableParagraph"/>
              <w:spacing w:line="229" w:lineRule="exact"/>
              <w:ind w:left="0" w:right="57"/>
              <w:jc w:val="right"/>
              <w:rPr>
                <w:sz w:val="22"/>
              </w:rPr>
            </w:pPr>
            <w:r>
              <w:rPr>
                <w:sz w:val="22"/>
              </w:rPr>
              <w:t>6.072.094,61€</w:t>
            </w:r>
          </w:p>
        </w:tc>
      </w:tr>
      <w:tr>
        <w:trPr>
          <w:trHeight w:val="247" w:hRule="atLeast"/>
        </w:trPr>
        <w:tc>
          <w:tcPr>
            <w:tcW w:w="6590" w:type="dxa"/>
            <w:tcBorders>
              <w:left w:val="single" w:sz="4" w:space="0" w:color="000000"/>
              <w:right w:val="single" w:sz="4" w:space="0" w:color="000000"/>
            </w:tcBorders>
          </w:tcPr>
          <w:p>
            <w:pPr>
              <w:pStyle w:val="TableParagraph"/>
              <w:ind w:left="4141"/>
              <w:rPr>
                <w:sz w:val="22"/>
              </w:rPr>
            </w:pPr>
            <w:r>
              <w:rPr>
                <w:sz w:val="22"/>
              </w:rPr>
              <w:t>Axustes positivos</w:t>
            </w:r>
          </w:p>
        </w:tc>
        <w:tc>
          <w:tcPr>
            <w:tcW w:w="2062" w:type="dxa"/>
            <w:tcBorders>
              <w:left w:val="single" w:sz="4" w:space="0" w:color="000000"/>
              <w:right w:val="single" w:sz="4" w:space="0" w:color="000000"/>
            </w:tcBorders>
          </w:tcPr>
          <w:p>
            <w:pPr>
              <w:pStyle w:val="TableParagraph"/>
              <w:ind w:left="0" w:right="57"/>
              <w:jc w:val="right"/>
              <w:rPr>
                <w:sz w:val="22"/>
              </w:rPr>
            </w:pPr>
            <w:r>
              <w:rPr>
                <w:sz w:val="22"/>
              </w:rPr>
              <w:t>0,00</w:t>
            </w:r>
          </w:p>
        </w:tc>
      </w:tr>
      <w:tr>
        <w:trPr>
          <w:trHeight w:val="248" w:hRule="atLeast"/>
        </w:trPr>
        <w:tc>
          <w:tcPr>
            <w:tcW w:w="6590" w:type="dxa"/>
            <w:tcBorders>
              <w:left w:val="single" w:sz="4" w:space="0" w:color="000000"/>
              <w:right w:val="single" w:sz="4" w:space="0" w:color="000000"/>
            </w:tcBorders>
          </w:tcPr>
          <w:p>
            <w:pPr>
              <w:pStyle w:val="TableParagraph"/>
              <w:spacing w:line="229" w:lineRule="exact"/>
              <w:ind w:left="4085"/>
              <w:rPr>
                <w:sz w:val="22"/>
              </w:rPr>
            </w:pPr>
            <w:r>
              <w:rPr>
                <w:sz w:val="22"/>
              </w:rPr>
              <w:t>Axustes negativos</w:t>
            </w:r>
          </w:p>
        </w:tc>
        <w:tc>
          <w:tcPr>
            <w:tcW w:w="2062" w:type="dxa"/>
            <w:tcBorders>
              <w:left w:val="single" w:sz="4" w:space="0" w:color="000000"/>
              <w:right w:val="single" w:sz="4" w:space="0" w:color="000000"/>
            </w:tcBorders>
          </w:tcPr>
          <w:p>
            <w:pPr>
              <w:pStyle w:val="TableParagraph"/>
              <w:spacing w:line="229" w:lineRule="exact"/>
              <w:ind w:left="0" w:right="57"/>
              <w:jc w:val="right"/>
              <w:rPr>
                <w:sz w:val="22"/>
              </w:rPr>
            </w:pPr>
            <w:r>
              <w:rPr>
                <w:sz w:val="22"/>
              </w:rPr>
              <w:t>0,00</w:t>
            </w:r>
          </w:p>
        </w:tc>
      </w:tr>
      <w:tr>
        <w:trPr>
          <w:trHeight w:val="246" w:hRule="atLeast"/>
        </w:trPr>
        <w:tc>
          <w:tcPr>
            <w:tcW w:w="6590" w:type="dxa"/>
            <w:tcBorders>
              <w:left w:val="single" w:sz="4" w:space="0" w:color="000000"/>
              <w:right w:val="single" w:sz="4" w:space="0" w:color="000000"/>
            </w:tcBorders>
          </w:tcPr>
          <w:p>
            <w:pPr>
              <w:pStyle w:val="TableParagraph"/>
              <w:ind w:left="71"/>
              <w:rPr>
                <w:sz w:val="22"/>
              </w:rPr>
            </w:pPr>
            <w:r>
              <w:rPr>
                <w:sz w:val="22"/>
              </w:rPr>
              <w:t>Saldo operacións non financeiras (cap. financiamento)</w:t>
            </w:r>
          </w:p>
        </w:tc>
        <w:tc>
          <w:tcPr>
            <w:tcW w:w="2062" w:type="dxa"/>
            <w:tcBorders>
              <w:left w:val="single" w:sz="4" w:space="0" w:color="000000"/>
              <w:right w:val="single" w:sz="4" w:space="0" w:color="000000"/>
            </w:tcBorders>
          </w:tcPr>
          <w:p>
            <w:pPr>
              <w:pStyle w:val="TableParagraph"/>
              <w:ind w:left="0" w:right="57"/>
              <w:jc w:val="right"/>
              <w:rPr>
                <w:sz w:val="22"/>
              </w:rPr>
            </w:pPr>
            <w:r>
              <w:rPr>
                <w:sz w:val="22"/>
              </w:rPr>
              <w:t>+157.902,72</w:t>
            </w:r>
          </w:p>
        </w:tc>
      </w:tr>
    </w:tbl>
    <w:p>
      <w:pPr>
        <w:pStyle w:val="BodyText"/>
        <w:spacing w:before="9"/>
        <w:rPr>
          <w:sz w:val="21"/>
        </w:rPr>
      </w:pPr>
    </w:p>
    <w:p>
      <w:pPr>
        <w:pStyle w:val="BodyText"/>
        <w:ind w:left="1264" w:right="1704"/>
      </w:pPr>
      <w:r>
        <w:rPr/>
        <w:t>Das operacións anteriores, dedúcese que os ingresos son superiores ós gastos en términos non financeiros, polo que existe estabilidade orzamentaria.</w:t>
      </w:r>
    </w:p>
    <w:p>
      <w:pPr>
        <w:pStyle w:val="BodyText"/>
        <w:rPr>
          <w:sz w:val="20"/>
        </w:rPr>
      </w:pPr>
    </w:p>
    <w:p>
      <w:pPr>
        <w:pStyle w:val="BodyText"/>
        <w:rPr>
          <w:sz w:val="19"/>
        </w:rPr>
      </w:pPr>
      <w:r>
        <w:rPr/>
        <w:pict>
          <v:line style="position:absolute;mso-position-horizontal-relative:page;mso-position-vertical-relative:paragraph;z-index:1456;mso-wrap-distance-left:0;mso-wrap-distance-right:0" from="85.099998pt,13.12915pt" to="510.199998pt,13.12915pt" stroked="true" strokeweight=".5pt" strokecolor="#000000">
            <v:stroke dashstyle="solid"/>
            <w10:wrap type="topAndBottom"/>
          </v:line>
        </w:pict>
      </w:r>
    </w:p>
    <w:p>
      <w:pPr>
        <w:pStyle w:val="Heading1"/>
        <w:spacing w:before="71"/>
        <w:ind w:right="3137"/>
        <w:jc w:val="center"/>
      </w:pPr>
      <w:r>
        <w:rPr/>
        <w:t>Concello de Ortigueira</w:t>
      </w:r>
    </w:p>
    <w:p>
      <w:pPr>
        <w:spacing w:before="121"/>
        <w:ind w:left="2709" w:right="3137" w:firstLine="0"/>
        <w:jc w:val="center"/>
        <w:rPr>
          <w:sz w:val="16"/>
        </w:rPr>
      </w:pPr>
      <w:r>
        <w:rPr>
          <w:sz w:val="16"/>
        </w:rPr>
        <w:t>Plaza de Isabel II, s/n, Ortigueira. 15330 A Coruña. Tfno. 981400000. Fax: 981402536</w:t>
      </w:r>
    </w:p>
    <w:p>
      <w:pPr>
        <w:spacing w:after="0"/>
        <w:jc w:val="center"/>
        <w:rPr>
          <w:sz w:val="16"/>
        </w:rPr>
        <w:sectPr>
          <w:pgSz w:w="11900" w:h="16840"/>
          <w:pgMar w:header="710" w:footer="0" w:top="2240" w:bottom="0" w:left="440" w:right="0"/>
        </w:sectPr>
      </w:pPr>
    </w:p>
    <w:p>
      <w:pPr>
        <w:pStyle w:val="BodyText"/>
        <w:spacing w:before="10"/>
        <w:rPr>
          <w:sz w:val="9"/>
        </w:rPr>
      </w:pPr>
    </w:p>
    <w:p>
      <w:pPr>
        <w:pStyle w:val="BodyText"/>
        <w:spacing w:before="91"/>
        <w:ind w:left="1263" w:right="1702"/>
        <w:jc w:val="both"/>
      </w:pPr>
      <w:r>
        <w:rPr/>
        <w:t>De todos os xeitos, advirte esta funcionaria que o cálculo da estabilidade orzamentaria con motivo da aprobación do orzamento ten por obxecto prever posibles incumprimentos durante a execución posterior deste. En consecuencia, os órganos xestores deben tomar conciencia da necesidade de levar control do cumprimento das previsións de ingresos que amparan os gastos. Igualmente, esta funcionaria advirte da necesidade de que se leve a cabo igualmente un axeitado control do gasto de xeito que non se leven a cabo gastos por enriba do orzamentado.</w:t>
      </w:r>
    </w:p>
    <w:p>
      <w:pPr>
        <w:pStyle w:val="BodyText"/>
        <w:spacing w:before="10"/>
        <w:rPr>
          <w:sz w:val="21"/>
        </w:rPr>
      </w:pPr>
    </w:p>
    <w:p>
      <w:pPr>
        <w:pStyle w:val="Heading1"/>
        <w:numPr>
          <w:ilvl w:val="0"/>
          <w:numId w:val="1"/>
        </w:numPr>
        <w:tabs>
          <w:tab w:pos="1636" w:val="left" w:leader="none"/>
        </w:tabs>
        <w:spacing w:line="240" w:lineRule="auto" w:before="0" w:after="0"/>
        <w:ind w:left="1635" w:right="0" w:hanging="371"/>
        <w:jc w:val="left"/>
        <w:rPr>
          <w:b w:val="0"/>
        </w:rPr>
      </w:pPr>
      <w:r>
        <w:rPr/>
        <w:t>CONCLUSIÓNS</w:t>
      </w:r>
      <w:r>
        <w:rPr>
          <w:b w:val="0"/>
        </w:rPr>
        <w:t>:</w:t>
      </w:r>
    </w:p>
    <w:p>
      <w:pPr>
        <w:pStyle w:val="BodyText"/>
      </w:pPr>
    </w:p>
    <w:p>
      <w:pPr>
        <w:pStyle w:val="BodyText"/>
        <w:spacing w:before="1"/>
        <w:ind w:left="1263" w:right="1711"/>
        <w:jc w:val="both"/>
      </w:pPr>
      <w:r>
        <w:rPr/>
        <w:pict>
          <v:shape style="position:absolute;margin-left:535.991211pt;margin-top:9.862345pt;width:32.9pt;height:247.2pt;mso-position-horizontal-relative:page;mso-position-vertical-relative:paragraph;z-index:1600" type="#_x0000_t202" filled="false" stroked="false">
            <v:textbox inset="0,0,0,0" style="layout-flow:vertical;mso-layout-flow-alt:bottom-to-top">
              <w:txbxContent>
                <w:p>
                  <w:pPr>
                    <w:spacing w:line="417" w:lineRule="exact" w:before="20"/>
                    <w:ind w:left="20" w:right="0" w:firstLine="0"/>
                    <w:jc w:val="left"/>
                    <w:rPr>
                      <w:rFonts w:ascii="Tahoma"/>
                      <w:sz w:val="36"/>
                    </w:rPr>
                  </w:pPr>
                  <w:r>
                    <w:rPr>
                      <w:rFonts w:ascii="Tahoma"/>
                      <w:sz w:val="36"/>
                    </w:rPr>
                    <w:t>INFORMES DE INTERVENCION</w:t>
                  </w:r>
                </w:p>
                <w:p>
                  <w:pPr>
                    <w:spacing w:line="200" w:lineRule="exact" w:before="0"/>
                    <w:ind w:left="40" w:right="0" w:firstLine="0"/>
                    <w:jc w:val="left"/>
                    <w:rPr>
                      <w:rFonts w:ascii="Tahoma" w:hAnsi="Tahoma"/>
                      <w:sz w:val="18"/>
                    </w:rPr>
                  </w:pPr>
                  <w:r>
                    <w:rPr>
                      <w:rFonts w:ascii="Tahoma" w:hAnsi="Tahoma"/>
                      <w:sz w:val="18"/>
                    </w:rPr>
                    <w:t>Número: 2017-0002 Fecha: 13/01/2017</w:t>
                  </w:r>
                </w:p>
              </w:txbxContent>
            </v:textbox>
            <w10:wrap type="none"/>
          </v:shape>
        </w:pict>
      </w:r>
      <w:r>
        <w:rPr/>
        <w:t>Como consecuencia do todo o exposto ata o momento no presente Informe, poño de manifesto as seguintes conclusións:</w:t>
      </w:r>
    </w:p>
    <w:p>
      <w:pPr>
        <w:pStyle w:val="ListParagraph"/>
        <w:numPr>
          <w:ilvl w:val="1"/>
          <w:numId w:val="3"/>
        </w:numPr>
        <w:tabs>
          <w:tab w:pos="1984" w:val="left" w:leader="none"/>
        </w:tabs>
        <w:spacing w:line="242" w:lineRule="auto" w:before="0" w:after="0"/>
        <w:ind w:left="1984" w:right="1699" w:hanging="360"/>
        <w:jc w:val="both"/>
        <w:rPr>
          <w:sz w:val="22"/>
        </w:rPr>
      </w:pPr>
      <w:r>
        <w:rPr>
          <w:sz w:val="22"/>
        </w:rPr>
        <w:t>No Proxecto de Orzamento do Concello de Ortigueira para o ano 2017 prevése unha situación de estabilidade orzamentaria nos termos do artigo </w:t>
      </w:r>
      <w:r>
        <w:rPr>
          <w:spacing w:val="-5"/>
          <w:sz w:val="22"/>
        </w:rPr>
        <w:t>11 </w:t>
      </w:r>
      <w:r>
        <w:rPr>
          <w:sz w:val="22"/>
        </w:rPr>
        <w:t>da Lei orgánica 2/2012, de estabilidade</w:t>
      </w:r>
      <w:r>
        <w:rPr>
          <w:spacing w:val="-1"/>
          <w:sz w:val="22"/>
        </w:rPr>
        <w:t> </w:t>
      </w:r>
      <w:r>
        <w:rPr>
          <w:sz w:val="22"/>
        </w:rPr>
        <w:t>orzamentaria.</w:t>
      </w:r>
    </w:p>
    <w:p>
      <w:pPr>
        <w:pStyle w:val="ListParagraph"/>
        <w:numPr>
          <w:ilvl w:val="1"/>
          <w:numId w:val="3"/>
        </w:numPr>
        <w:tabs>
          <w:tab w:pos="1984" w:val="left" w:leader="none"/>
        </w:tabs>
        <w:spacing w:line="240" w:lineRule="auto" w:before="0" w:after="0"/>
        <w:ind w:left="1984" w:right="1701" w:hanging="360"/>
        <w:jc w:val="both"/>
        <w:rPr>
          <w:sz w:val="22"/>
        </w:rPr>
      </w:pPr>
      <w:r>
        <w:rPr/>
        <w:drawing>
          <wp:anchor distT="0" distB="0" distL="0" distR="0" allowOverlap="1" layoutInCell="1" locked="0" behindDoc="0" simplePos="0" relativeHeight="1576">
            <wp:simplePos x="0" y="0"/>
            <wp:positionH relativeFrom="page">
              <wp:posOffset>6871850</wp:posOffset>
            </wp:positionH>
            <wp:positionV relativeFrom="paragraph">
              <wp:posOffset>2584813</wp:posOffset>
            </wp:positionV>
            <wp:extent cx="328070" cy="3911600"/>
            <wp:effectExtent l="0" t="0" r="0" b="0"/>
            <wp:wrapNone/>
            <wp:docPr id="17" name="image3.png" descr=""/>
            <wp:cNvGraphicFramePr>
              <a:graphicFrameLocks noChangeAspect="1"/>
            </wp:cNvGraphicFramePr>
            <a:graphic>
              <a:graphicData uri="http://schemas.openxmlformats.org/drawingml/2006/picture">
                <pic:pic>
                  <pic:nvPicPr>
                    <pic:cNvPr id="18" name="image3.png"/>
                    <pic:cNvPicPr/>
                  </pic:nvPicPr>
                  <pic:blipFill>
                    <a:blip r:embed="rId7" cstate="print"/>
                    <a:stretch>
                      <a:fillRect/>
                    </a:stretch>
                  </pic:blipFill>
                  <pic:spPr>
                    <a:xfrm>
                      <a:off x="0" y="0"/>
                      <a:ext cx="328070" cy="3911600"/>
                    </a:xfrm>
                    <a:prstGeom prst="rect">
                      <a:avLst/>
                    </a:prstGeom>
                  </pic:spPr>
                </pic:pic>
              </a:graphicData>
            </a:graphic>
          </wp:anchor>
        </w:drawing>
      </w:r>
      <w:r>
        <w:rPr/>
        <w:pict>
          <v:shape style="position:absolute;margin-left:567.568359pt;margin-top:233.762589pt;width:14.75pt;height:279.8pt;mso-position-horizontal-relative:page;mso-position-vertical-relative:paragraph;z-index:1624" type="#_x0000_t202" filled="false" stroked="false">
            <v:textbox inset="0,0,0,0" style="layout-flow:vertical;mso-layout-flow-alt:bottom-to-top">
              <w:txbxContent>
                <w:p>
                  <w:pPr>
                    <w:spacing w:line="208" w:lineRule="auto" w:before="30"/>
                    <w:ind w:left="20" w:right="0" w:firstLine="0"/>
                    <w:jc w:val="left"/>
                    <w:rPr>
                      <w:rFonts w:ascii="Arial" w:hAnsi="Arial"/>
                      <w:sz w:val="12"/>
                    </w:rPr>
                  </w:pPr>
                  <w:r>
                    <w:rPr>
                      <w:rFonts w:ascii="Arial" w:hAnsi="Arial"/>
                      <w:sz w:val="12"/>
                    </w:rPr>
                    <w:t>Cód.</w:t>
                  </w:r>
                  <w:r>
                    <w:rPr>
                      <w:rFonts w:ascii="Arial" w:hAnsi="Arial"/>
                      <w:spacing w:val="-15"/>
                      <w:sz w:val="12"/>
                    </w:rPr>
                    <w:t> </w:t>
                  </w:r>
                  <w:r>
                    <w:rPr>
                      <w:rFonts w:ascii="Arial" w:hAnsi="Arial"/>
                      <w:sz w:val="12"/>
                    </w:rPr>
                    <w:t>Validación:</w:t>
                  </w:r>
                  <w:r>
                    <w:rPr>
                      <w:rFonts w:ascii="Arial" w:hAnsi="Arial"/>
                      <w:spacing w:val="-15"/>
                      <w:sz w:val="12"/>
                    </w:rPr>
                    <w:t> </w:t>
                  </w:r>
                  <w:r>
                    <w:rPr>
                      <w:rFonts w:ascii="Arial" w:hAnsi="Arial"/>
                      <w:sz w:val="12"/>
                    </w:rPr>
                    <w:t>3LDMQ24NCGAA6DTPYZDWAMMPG</w:t>
                  </w:r>
                  <w:r>
                    <w:rPr>
                      <w:rFonts w:ascii="Arial" w:hAnsi="Arial"/>
                      <w:spacing w:val="-15"/>
                      <w:sz w:val="12"/>
                    </w:rPr>
                    <w:t> </w:t>
                  </w:r>
                  <w:r>
                    <w:rPr>
                      <w:rFonts w:ascii="Arial" w:hAnsi="Arial"/>
                      <w:sz w:val="12"/>
                    </w:rPr>
                    <w:t>|</w:t>
                  </w:r>
                  <w:r>
                    <w:rPr>
                      <w:rFonts w:ascii="Arial" w:hAnsi="Arial"/>
                      <w:spacing w:val="-15"/>
                      <w:sz w:val="12"/>
                    </w:rPr>
                    <w:t> </w:t>
                  </w:r>
                  <w:r>
                    <w:rPr>
                      <w:rFonts w:ascii="Arial" w:hAnsi="Arial"/>
                      <w:sz w:val="12"/>
                    </w:rPr>
                    <w:t>Verificación:</w:t>
                  </w:r>
                  <w:hyperlink r:id="rId8">
                    <w:r>
                      <w:rPr>
                        <w:rFonts w:ascii="Arial" w:hAnsi="Arial"/>
                        <w:spacing w:val="-15"/>
                        <w:sz w:val="12"/>
                      </w:rPr>
                      <w:t> </w:t>
                    </w:r>
                    <w:r>
                      <w:rPr>
                        <w:rFonts w:ascii="Arial" w:hAnsi="Arial"/>
                        <w:sz w:val="12"/>
                      </w:rPr>
                      <w:t>http://ortigueira.sedelectronica.es/</w:t>
                    </w:r>
                  </w:hyperlink>
                  <w:r>
                    <w:rPr>
                      <w:rFonts w:ascii="Arial" w:hAnsi="Arial"/>
                      <w:sz w:val="12"/>
                    </w:rPr>
                    <w:t> Documento</w:t>
                  </w:r>
                  <w:r>
                    <w:rPr>
                      <w:rFonts w:ascii="Arial" w:hAnsi="Arial"/>
                      <w:spacing w:val="-3"/>
                      <w:sz w:val="12"/>
                    </w:rPr>
                    <w:t> </w:t>
                  </w:r>
                  <w:r>
                    <w:rPr>
                      <w:rFonts w:ascii="Arial" w:hAnsi="Arial"/>
                      <w:sz w:val="12"/>
                    </w:rPr>
                    <w:t>firmado</w:t>
                  </w:r>
                  <w:r>
                    <w:rPr>
                      <w:rFonts w:ascii="Arial" w:hAnsi="Arial"/>
                      <w:spacing w:val="-3"/>
                      <w:sz w:val="12"/>
                    </w:rPr>
                    <w:t> </w:t>
                  </w:r>
                  <w:r>
                    <w:rPr>
                      <w:rFonts w:ascii="Arial" w:hAnsi="Arial"/>
                      <w:sz w:val="12"/>
                    </w:rPr>
                    <w:t>electrónicamente</w:t>
                  </w:r>
                  <w:r>
                    <w:rPr>
                      <w:rFonts w:ascii="Arial" w:hAnsi="Arial"/>
                      <w:spacing w:val="-3"/>
                      <w:sz w:val="12"/>
                    </w:rPr>
                    <w:t> </w:t>
                  </w:r>
                  <w:r>
                    <w:rPr>
                      <w:rFonts w:ascii="Arial" w:hAnsi="Arial"/>
                      <w:sz w:val="12"/>
                    </w:rPr>
                    <w:t>desde</w:t>
                  </w:r>
                  <w:r>
                    <w:rPr>
                      <w:rFonts w:ascii="Arial" w:hAnsi="Arial"/>
                      <w:spacing w:val="-3"/>
                      <w:sz w:val="12"/>
                    </w:rPr>
                    <w:t> </w:t>
                  </w:r>
                  <w:r>
                    <w:rPr>
                      <w:rFonts w:ascii="Arial" w:hAnsi="Arial"/>
                      <w:sz w:val="12"/>
                    </w:rPr>
                    <w:t>la</w:t>
                  </w:r>
                  <w:r>
                    <w:rPr>
                      <w:rFonts w:ascii="Arial" w:hAnsi="Arial"/>
                      <w:spacing w:val="-3"/>
                      <w:sz w:val="12"/>
                    </w:rPr>
                    <w:t> </w:t>
                  </w:r>
                  <w:r>
                    <w:rPr>
                      <w:rFonts w:ascii="Arial" w:hAnsi="Arial"/>
                      <w:sz w:val="12"/>
                    </w:rPr>
                    <w:t>plataforma</w:t>
                  </w:r>
                  <w:r>
                    <w:rPr>
                      <w:rFonts w:ascii="Arial" w:hAnsi="Arial"/>
                      <w:spacing w:val="-3"/>
                      <w:sz w:val="12"/>
                    </w:rPr>
                    <w:t> </w:t>
                  </w:r>
                  <w:r>
                    <w:rPr>
                      <w:rFonts w:ascii="Arial" w:hAnsi="Arial"/>
                      <w:sz w:val="12"/>
                    </w:rPr>
                    <w:t>esPublico</w:t>
                  </w:r>
                  <w:r>
                    <w:rPr>
                      <w:rFonts w:ascii="Arial" w:hAnsi="Arial"/>
                      <w:spacing w:val="-3"/>
                      <w:sz w:val="12"/>
                    </w:rPr>
                    <w:t> </w:t>
                  </w:r>
                  <w:r>
                    <w:rPr>
                      <w:rFonts w:ascii="Arial" w:hAnsi="Arial"/>
                      <w:sz w:val="12"/>
                    </w:rPr>
                    <w:t>Gestiona</w:t>
                  </w:r>
                  <w:r>
                    <w:rPr>
                      <w:rFonts w:ascii="Arial" w:hAnsi="Arial"/>
                      <w:spacing w:val="-3"/>
                      <w:sz w:val="12"/>
                    </w:rPr>
                    <w:t> </w:t>
                  </w:r>
                  <w:r>
                    <w:rPr>
                      <w:rFonts w:ascii="Arial" w:hAnsi="Arial"/>
                      <w:sz w:val="12"/>
                    </w:rPr>
                    <w:t>|</w:t>
                  </w:r>
                  <w:r>
                    <w:rPr>
                      <w:rFonts w:ascii="Arial" w:hAnsi="Arial"/>
                      <w:spacing w:val="-3"/>
                      <w:sz w:val="12"/>
                    </w:rPr>
                    <w:t> </w:t>
                  </w:r>
                  <w:r>
                    <w:rPr>
                      <w:rFonts w:ascii="Arial" w:hAnsi="Arial"/>
                      <w:sz w:val="12"/>
                    </w:rPr>
                    <w:t>Página</w:t>
                  </w:r>
                  <w:r>
                    <w:rPr>
                      <w:rFonts w:ascii="Arial" w:hAnsi="Arial"/>
                      <w:spacing w:val="-3"/>
                      <w:sz w:val="12"/>
                    </w:rPr>
                    <w:t> </w:t>
                  </w:r>
                  <w:r>
                    <w:rPr>
                      <w:rFonts w:ascii="Arial" w:hAnsi="Arial"/>
                      <w:sz w:val="12"/>
                    </w:rPr>
                    <w:t>6</w:t>
                  </w:r>
                  <w:r>
                    <w:rPr>
                      <w:rFonts w:ascii="Arial" w:hAnsi="Arial"/>
                      <w:spacing w:val="-3"/>
                      <w:sz w:val="12"/>
                    </w:rPr>
                    <w:t> </w:t>
                  </w:r>
                  <w:r>
                    <w:rPr>
                      <w:rFonts w:ascii="Arial" w:hAnsi="Arial"/>
                      <w:sz w:val="12"/>
                    </w:rPr>
                    <w:t>de</w:t>
                  </w:r>
                  <w:r>
                    <w:rPr>
                      <w:rFonts w:ascii="Arial" w:hAnsi="Arial"/>
                      <w:spacing w:val="-3"/>
                      <w:sz w:val="12"/>
                    </w:rPr>
                    <w:t> </w:t>
                  </w:r>
                  <w:r>
                    <w:rPr>
                      <w:rFonts w:ascii="Arial" w:hAnsi="Arial"/>
                      <w:sz w:val="12"/>
                    </w:rPr>
                    <w:t>6</w:t>
                  </w:r>
                </w:p>
              </w:txbxContent>
            </v:textbox>
            <w10:wrap type="none"/>
          </v:shape>
        </w:pict>
      </w:r>
      <w:r>
        <w:rPr>
          <w:sz w:val="22"/>
        </w:rPr>
        <w:t>En cumprimento do establecido no último parágrafo do artigo 16.2 do RD 1463/2007, este Informe debe ser remitido á Dirección General de Coordinación Financiera con las Entidades Locales, ou ben ao órgano competente da Comunidade autónoma que exerza as función de tutela financieira, no prazo máximo de 15 días hábiles dende o coñecemento por parte do</w:t>
      </w:r>
      <w:r>
        <w:rPr>
          <w:spacing w:val="-6"/>
          <w:sz w:val="22"/>
        </w:rPr>
        <w:t> </w:t>
      </w:r>
      <w:r>
        <w:rPr>
          <w:sz w:val="22"/>
        </w:rPr>
        <w:t>Pleno.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9"/>
        </w:rPr>
      </w:pPr>
      <w:r>
        <w:rPr/>
        <w:pict>
          <v:line style="position:absolute;mso-position-horizontal-relative:page;mso-position-vertical-relative:paragraph;z-index:1552;mso-wrap-distance-left:0;mso-wrap-distance-right:0" from="85.099998pt,19.226231pt" to="510.199998pt,19.226231pt" stroked="true" strokeweight=".5pt" strokecolor="#000000">
            <v:stroke dashstyle="solid"/>
            <w10:wrap type="topAndBottom"/>
          </v:line>
        </w:pict>
      </w:r>
    </w:p>
    <w:p>
      <w:pPr>
        <w:pStyle w:val="Heading1"/>
        <w:spacing w:before="71"/>
        <w:ind w:right="3137"/>
        <w:jc w:val="center"/>
      </w:pPr>
      <w:r>
        <w:rPr/>
        <w:t>Concello de Ortigueira</w:t>
      </w:r>
    </w:p>
    <w:p>
      <w:pPr>
        <w:spacing w:before="121"/>
        <w:ind w:left="2709" w:right="3137" w:firstLine="0"/>
        <w:jc w:val="center"/>
        <w:rPr>
          <w:sz w:val="16"/>
        </w:rPr>
      </w:pPr>
      <w:r>
        <w:rPr>
          <w:sz w:val="16"/>
        </w:rPr>
        <w:t>Plaza de Isabel II, s/n, Ortigueira. 15330 A Coruña. Tfno. 981400000. Fax: 981402536</w:t>
      </w:r>
    </w:p>
    <w:sectPr>
      <w:pgSz w:w="11900" w:h="16840"/>
      <w:pgMar w:header="710" w:footer="0" w:top="2240" w:bottom="0" w:left="44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Arial">
    <w:altName w:val="Arial"/>
    <w:charset w:val="0"/>
    <w:family w:val="swiss"/>
    <w:pitch w:val="variable"/>
  </w:font>
  <w:font w:name="Arial Unicode MS">
    <w:altName w:val="Arial Unicode MS"/>
    <w:charset w:val="0"/>
    <w:family w:val="swiss"/>
    <w:pitch w:val="variable"/>
  </w:font>
  <w:font w:name="Tahoma">
    <w:altName w:val="Tahom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6887">
          <wp:simplePos x="0" y="0"/>
          <wp:positionH relativeFrom="page">
            <wp:posOffset>1083842</wp:posOffset>
          </wp:positionH>
          <wp:positionV relativeFrom="page">
            <wp:posOffset>450850</wp:posOffset>
          </wp:positionV>
          <wp:extent cx="531597" cy="69595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31597" cy="69595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28.399994pt;margin-top:90.024414pt;width:138.75pt;height:17.55pt;mso-position-horizontal-relative:page;mso-position-vertical-relative:page;z-index:-18544" type="#_x0000_t202" filled="false" stroked="false">
          <v:textbox inset="0,0,0,0">
            <w:txbxContent>
              <w:p>
                <w:pPr>
                  <w:spacing w:before="8"/>
                  <w:ind w:left="20" w:right="0" w:firstLine="0"/>
                  <w:jc w:val="left"/>
                  <w:rPr>
                    <w:b/>
                    <w:sz w:val="28"/>
                  </w:rPr>
                </w:pPr>
                <w:r>
                  <w:rPr>
                    <w:b/>
                    <w:sz w:val="28"/>
                  </w:rPr>
                  <w:t>Concello de Ortigueira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6935">
          <wp:simplePos x="0" y="0"/>
          <wp:positionH relativeFrom="page">
            <wp:posOffset>1083842</wp:posOffset>
          </wp:positionH>
          <wp:positionV relativeFrom="page">
            <wp:posOffset>450850</wp:posOffset>
          </wp:positionV>
          <wp:extent cx="531597" cy="695959"/>
          <wp:effectExtent l="0" t="0" r="0" b="0"/>
          <wp:wrapNone/>
          <wp:docPr id="7" name="image1.jpeg" descr=""/>
          <wp:cNvGraphicFramePr>
            <a:graphicFrameLocks noChangeAspect="1"/>
          </wp:cNvGraphicFramePr>
          <a:graphic>
            <a:graphicData uri="http://schemas.openxmlformats.org/drawingml/2006/picture">
              <pic:pic>
                <pic:nvPicPr>
                  <pic:cNvPr id="8" name="image1.jpeg"/>
                  <pic:cNvPicPr/>
                </pic:nvPicPr>
                <pic:blipFill>
                  <a:blip r:embed="rId1" cstate="print"/>
                  <a:stretch>
                    <a:fillRect/>
                  </a:stretch>
                </pic:blipFill>
                <pic:spPr>
                  <a:xfrm>
                    <a:off x="0" y="0"/>
                    <a:ext cx="531597" cy="695959"/>
                  </a:xfrm>
                  <a:prstGeom prst="rect">
                    <a:avLst/>
                  </a:prstGeom>
                </pic:spPr>
              </pic:pic>
            </a:graphicData>
          </a:graphic>
        </wp:anchor>
      </w:drawing>
    </w:r>
    <w:r>
      <w:rPr/>
      <w:pict>
        <v:line style="position:absolute;mso-position-horizontal-relative:page;mso-position-vertical-relative:page;z-index:-18496" from="85.099998pt,111.75pt" to="510.199998pt,111.75pt" stroked="true" strokeweight=".5pt" strokecolor="#000000">
          <v:stroke dashstyle="solid"/>
          <w10:wrap type="none"/>
        </v:line>
      </w:pict>
    </w:r>
    <w:r>
      <w:rPr/>
      <w:pict>
        <v:shape style="position:absolute;margin-left:228.399994pt;margin-top:90.024414pt;width:138.75pt;height:17.55pt;mso-position-horizontal-relative:page;mso-position-vertical-relative:page;z-index:-18472" type="#_x0000_t202" filled="false" stroked="false">
          <v:textbox inset="0,0,0,0">
            <w:txbxContent>
              <w:p>
                <w:pPr>
                  <w:spacing w:before="8"/>
                  <w:ind w:left="20" w:right="0" w:firstLine="0"/>
                  <w:jc w:val="left"/>
                  <w:rPr>
                    <w:b/>
                    <w:sz w:val="28"/>
                  </w:rPr>
                </w:pPr>
                <w:r>
                  <w:rPr>
                    <w:b/>
                    <w:sz w:val="28"/>
                  </w:rPr>
                  <w:t>Concello de Ortigueira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Letter"/>
      <w:lvlText w:val="%1)"/>
      <w:lvlJc w:val="left"/>
      <w:pPr>
        <w:ind w:left="1549" w:hanging="286"/>
        <w:jc w:val="left"/>
      </w:pPr>
      <w:rPr>
        <w:rFonts w:hint="default"/>
        <w:b/>
        <w:bCs/>
        <w:spacing w:val="-1"/>
        <w:w w:val="100"/>
        <w:lang w:val="en-us" w:eastAsia="en-us" w:bidi="en-us"/>
      </w:rPr>
    </w:lvl>
    <w:lvl w:ilvl="1">
      <w:start w:val="0"/>
      <w:numFmt w:val="bullet"/>
      <w:lvlText w:val="-"/>
      <w:lvlJc w:val="left"/>
      <w:pPr>
        <w:ind w:left="1984" w:hanging="360"/>
      </w:pPr>
      <w:rPr>
        <w:rFonts w:hint="default" w:ascii="Trebuchet MS" w:hAnsi="Trebuchet MS" w:eastAsia="Trebuchet MS" w:cs="Trebuchet MS"/>
        <w:b/>
        <w:bCs/>
        <w:w w:val="113"/>
        <w:sz w:val="22"/>
        <w:szCs w:val="22"/>
        <w:lang w:val="en-us" w:eastAsia="en-us" w:bidi="en-us"/>
      </w:rPr>
    </w:lvl>
    <w:lvl w:ilvl="2">
      <w:start w:val="0"/>
      <w:numFmt w:val="bullet"/>
      <w:lvlText w:val="•"/>
      <w:lvlJc w:val="left"/>
      <w:pPr>
        <w:ind w:left="3033" w:hanging="360"/>
      </w:pPr>
      <w:rPr>
        <w:rFonts w:hint="default"/>
        <w:lang w:val="en-us" w:eastAsia="en-us" w:bidi="en-us"/>
      </w:rPr>
    </w:lvl>
    <w:lvl w:ilvl="3">
      <w:start w:val="0"/>
      <w:numFmt w:val="bullet"/>
      <w:lvlText w:val="•"/>
      <w:lvlJc w:val="left"/>
      <w:pPr>
        <w:ind w:left="4086" w:hanging="360"/>
      </w:pPr>
      <w:rPr>
        <w:rFonts w:hint="default"/>
        <w:lang w:val="en-us" w:eastAsia="en-us" w:bidi="en-us"/>
      </w:rPr>
    </w:lvl>
    <w:lvl w:ilvl="4">
      <w:start w:val="0"/>
      <w:numFmt w:val="bullet"/>
      <w:lvlText w:val="•"/>
      <w:lvlJc w:val="left"/>
      <w:pPr>
        <w:ind w:left="5140" w:hanging="360"/>
      </w:pPr>
      <w:rPr>
        <w:rFonts w:hint="default"/>
        <w:lang w:val="en-us" w:eastAsia="en-us" w:bidi="en-us"/>
      </w:rPr>
    </w:lvl>
    <w:lvl w:ilvl="5">
      <w:start w:val="0"/>
      <w:numFmt w:val="bullet"/>
      <w:lvlText w:val="•"/>
      <w:lvlJc w:val="left"/>
      <w:pPr>
        <w:ind w:left="6193" w:hanging="360"/>
      </w:pPr>
      <w:rPr>
        <w:rFonts w:hint="default"/>
        <w:lang w:val="en-us" w:eastAsia="en-us" w:bidi="en-us"/>
      </w:rPr>
    </w:lvl>
    <w:lvl w:ilvl="6">
      <w:start w:val="0"/>
      <w:numFmt w:val="bullet"/>
      <w:lvlText w:val="•"/>
      <w:lvlJc w:val="left"/>
      <w:pPr>
        <w:ind w:left="7246" w:hanging="360"/>
      </w:pPr>
      <w:rPr>
        <w:rFonts w:hint="default"/>
        <w:lang w:val="en-us" w:eastAsia="en-us" w:bidi="en-us"/>
      </w:rPr>
    </w:lvl>
    <w:lvl w:ilvl="7">
      <w:start w:val="0"/>
      <w:numFmt w:val="bullet"/>
      <w:lvlText w:val="•"/>
      <w:lvlJc w:val="left"/>
      <w:pPr>
        <w:ind w:left="8300" w:hanging="360"/>
      </w:pPr>
      <w:rPr>
        <w:rFonts w:hint="default"/>
        <w:lang w:val="en-us" w:eastAsia="en-us" w:bidi="en-us"/>
      </w:rPr>
    </w:lvl>
    <w:lvl w:ilvl="8">
      <w:start w:val="0"/>
      <w:numFmt w:val="bullet"/>
      <w:lvlText w:val="•"/>
      <w:lvlJc w:val="left"/>
      <w:pPr>
        <w:ind w:left="9353" w:hanging="360"/>
      </w:pPr>
      <w:rPr>
        <w:rFonts w:hint="default"/>
        <w:lang w:val="en-us" w:eastAsia="en-us" w:bidi="en-us"/>
      </w:rPr>
    </w:lvl>
  </w:abstractNum>
  <w:abstractNum w:abstractNumId="1">
    <w:multiLevelType w:val="hybridMultilevel"/>
    <w:lvl w:ilvl="0">
      <w:start w:val="0"/>
      <w:numFmt w:val="bullet"/>
      <w:lvlText w:val="-"/>
      <w:lvlJc w:val="left"/>
      <w:pPr>
        <w:ind w:left="1984" w:hanging="360"/>
      </w:pPr>
      <w:rPr>
        <w:rFonts w:hint="default" w:ascii="Trebuchet MS" w:hAnsi="Trebuchet MS" w:eastAsia="Trebuchet MS" w:cs="Trebuchet MS"/>
        <w:b/>
        <w:bCs/>
        <w:w w:val="113"/>
        <w:sz w:val="22"/>
        <w:szCs w:val="22"/>
        <w:lang w:val="en-us" w:eastAsia="en-us" w:bidi="en-us"/>
      </w:rPr>
    </w:lvl>
    <w:lvl w:ilvl="1">
      <w:start w:val="0"/>
      <w:numFmt w:val="bullet"/>
      <w:lvlText w:val="•"/>
      <w:lvlJc w:val="left"/>
      <w:pPr>
        <w:ind w:left="2928" w:hanging="360"/>
      </w:pPr>
      <w:rPr>
        <w:rFonts w:hint="default"/>
        <w:lang w:val="en-us" w:eastAsia="en-us" w:bidi="en-us"/>
      </w:rPr>
    </w:lvl>
    <w:lvl w:ilvl="2">
      <w:start w:val="0"/>
      <w:numFmt w:val="bullet"/>
      <w:lvlText w:val="•"/>
      <w:lvlJc w:val="left"/>
      <w:pPr>
        <w:ind w:left="3876" w:hanging="360"/>
      </w:pPr>
      <w:rPr>
        <w:rFonts w:hint="default"/>
        <w:lang w:val="en-us" w:eastAsia="en-us" w:bidi="en-us"/>
      </w:rPr>
    </w:lvl>
    <w:lvl w:ilvl="3">
      <w:start w:val="0"/>
      <w:numFmt w:val="bullet"/>
      <w:lvlText w:val="•"/>
      <w:lvlJc w:val="left"/>
      <w:pPr>
        <w:ind w:left="4824" w:hanging="360"/>
      </w:pPr>
      <w:rPr>
        <w:rFonts w:hint="default"/>
        <w:lang w:val="en-us" w:eastAsia="en-us" w:bidi="en-us"/>
      </w:rPr>
    </w:lvl>
    <w:lvl w:ilvl="4">
      <w:start w:val="0"/>
      <w:numFmt w:val="bullet"/>
      <w:lvlText w:val="•"/>
      <w:lvlJc w:val="left"/>
      <w:pPr>
        <w:ind w:left="5772" w:hanging="360"/>
      </w:pPr>
      <w:rPr>
        <w:rFonts w:hint="default"/>
        <w:lang w:val="en-us" w:eastAsia="en-us" w:bidi="en-us"/>
      </w:rPr>
    </w:lvl>
    <w:lvl w:ilvl="5">
      <w:start w:val="0"/>
      <w:numFmt w:val="bullet"/>
      <w:lvlText w:val="•"/>
      <w:lvlJc w:val="left"/>
      <w:pPr>
        <w:ind w:left="6720" w:hanging="360"/>
      </w:pPr>
      <w:rPr>
        <w:rFonts w:hint="default"/>
        <w:lang w:val="en-us" w:eastAsia="en-us" w:bidi="en-us"/>
      </w:rPr>
    </w:lvl>
    <w:lvl w:ilvl="6">
      <w:start w:val="0"/>
      <w:numFmt w:val="bullet"/>
      <w:lvlText w:val="•"/>
      <w:lvlJc w:val="left"/>
      <w:pPr>
        <w:ind w:left="7668" w:hanging="360"/>
      </w:pPr>
      <w:rPr>
        <w:rFonts w:hint="default"/>
        <w:lang w:val="en-us" w:eastAsia="en-us" w:bidi="en-us"/>
      </w:rPr>
    </w:lvl>
    <w:lvl w:ilvl="7">
      <w:start w:val="0"/>
      <w:numFmt w:val="bullet"/>
      <w:lvlText w:val="•"/>
      <w:lvlJc w:val="left"/>
      <w:pPr>
        <w:ind w:left="8616" w:hanging="360"/>
      </w:pPr>
      <w:rPr>
        <w:rFonts w:hint="default"/>
        <w:lang w:val="en-us" w:eastAsia="en-us" w:bidi="en-us"/>
      </w:rPr>
    </w:lvl>
    <w:lvl w:ilvl="8">
      <w:start w:val="0"/>
      <w:numFmt w:val="bullet"/>
      <w:lvlText w:val="•"/>
      <w:lvlJc w:val="left"/>
      <w:pPr>
        <w:ind w:left="9564" w:hanging="360"/>
      </w:pPr>
      <w:rPr>
        <w:rFonts w:hint="default"/>
        <w:lang w:val="en-us" w:eastAsia="en-us" w:bidi="en-us"/>
      </w:rPr>
    </w:lvl>
  </w:abstractNum>
  <w:abstractNum w:abstractNumId="0">
    <w:multiLevelType w:val="hybridMultilevel"/>
    <w:lvl w:ilvl="0">
      <w:start w:val="1"/>
      <w:numFmt w:val="upperRoman"/>
      <w:lvlText w:val="%1)"/>
      <w:lvlJc w:val="left"/>
      <w:pPr>
        <w:ind w:left="1825" w:hanging="202"/>
        <w:jc w:val="right"/>
      </w:pPr>
      <w:rPr>
        <w:rFonts w:hint="default" w:ascii="Times New Roman" w:hAnsi="Times New Roman" w:eastAsia="Times New Roman" w:cs="Times New Roman"/>
        <w:b/>
        <w:bCs/>
        <w:spacing w:val="-2"/>
        <w:w w:val="100"/>
        <w:sz w:val="22"/>
        <w:szCs w:val="22"/>
        <w:lang w:val="en-us" w:eastAsia="en-us" w:bidi="en-us"/>
      </w:rPr>
    </w:lvl>
    <w:lvl w:ilvl="1">
      <w:start w:val="0"/>
      <w:numFmt w:val="bullet"/>
      <w:lvlText w:val="•"/>
      <w:lvlJc w:val="left"/>
      <w:pPr>
        <w:ind w:left="2328" w:hanging="360"/>
      </w:pPr>
      <w:rPr>
        <w:rFonts w:hint="default" w:ascii="Arial Unicode MS" w:hAnsi="Arial Unicode MS" w:eastAsia="Arial Unicode MS" w:cs="Arial Unicode MS"/>
        <w:w w:val="131"/>
        <w:sz w:val="22"/>
        <w:szCs w:val="22"/>
        <w:lang w:val="en-us" w:eastAsia="en-us" w:bidi="en-us"/>
      </w:rPr>
    </w:lvl>
    <w:lvl w:ilvl="2">
      <w:start w:val="0"/>
      <w:numFmt w:val="bullet"/>
      <w:lvlText w:val="•"/>
      <w:lvlJc w:val="left"/>
      <w:pPr>
        <w:ind w:left="3335" w:hanging="360"/>
      </w:pPr>
      <w:rPr>
        <w:rFonts w:hint="default"/>
        <w:lang w:val="en-us" w:eastAsia="en-us" w:bidi="en-us"/>
      </w:rPr>
    </w:lvl>
    <w:lvl w:ilvl="3">
      <w:start w:val="0"/>
      <w:numFmt w:val="bullet"/>
      <w:lvlText w:val="•"/>
      <w:lvlJc w:val="left"/>
      <w:pPr>
        <w:ind w:left="4351" w:hanging="360"/>
      </w:pPr>
      <w:rPr>
        <w:rFonts w:hint="default"/>
        <w:lang w:val="en-us" w:eastAsia="en-us" w:bidi="en-us"/>
      </w:rPr>
    </w:lvl>
    <w:lvl w:ilvl="4">
      <w:start w:val="0"/>
      <w:numFmt w:val="bullet"/>
      <w:lvlText w:val="•"/>
      <w:lvlJc w:val="left"/>
      <w:pPr>
        <w:ind w:left="5366" w:hanging="360"/>
      </w:pPr>
      <w:rPr>
        <w:rFonts w:hint="default"/>
        <w:lang w:val="en-us" w:eastAsia="en-us" w:bidi="en-us"/>
      </w:rPr>
    </w:lvl>
    <w:lvl w:ilvl="5">
      <w:start w:val="0"/>
      <w:numFmt w:val="bullet"/>
      <w:lvlText w:val="•"/>
      <w:lvlJc w:val="left"/>
      <w:pPr>
        <w:ind w:left="6382" w:hanging="360"/>
      </w:pPr>
      <w:rPr>
        <w:rFonts w:hint="default"/>
        <w:lang w:val="en-us" w:eastAsia="en-us" w:bidi="en-us"/>
      </w:rPr>
    </w:lvl>
    <w:lvl w:ilvl="6">
      <w:start w:val="0"/>
      <w:numFmt w:val="bullet"/>
      <w:lvlText w:val="•"/>
      <w:lvlJc w:val="left"/>
      <w:pPr>
        <w:ind w:left="7397" w:hanging="360"/>
      </w:pPr>
      <w:rPr>
        <w:rFonts w:hint="default"/>
        <w:lang w:val="en-us" w:eastAsia="en-us" w:bidi="en-us"/>
      </w:rPr>
    </w:lvl>
    <w:lvl w:ilvl="7">
      <w:start w:val="0"/>
      <w:numFmt w:val="bullet"/>
      <w:lvlText w:val="•"/>
      <w:lvlJc w:val="left"/>
      <w:pPr>
        <w:ind w:left="8413" w:hanging="360"/>
      </w:pPr>
      <w:rPr>
        <w:rFonts w:hint="default"/>
        <w:lang w:val="en-us" w:eastAsia="en-us" w:bidi="en-us"/>
      </w:rPr>
    </w:lvl>
    <w:lvl w:ilvl="8">
      <w:start w:val="0"/>
      <w:numFmt w:val="bullet"/>
      <w:lvlText w:val="•"/>
      <w:lvlJc w:val="left"/>
      <w:pPr>
        <w:ind w:left="9428" w:hanging="36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en-us"/>
    </w:rPr>
  </w:style>
  <w:style w:styleId="Heading1" w:type="paragraph">
    <w:name w:val="Heading 1"/>
    <w:basedOn w:val="Normal"/>
    <w:uiPriority w:val="1"/>
    <w:qFormat/>
    <w:pPr>
      <w:ind w:left="2707"/>
      <w:outlineLvl w:val="1"/>
    </w:pPr>
    <w:rPr>
      <w:rFonts w:ascii="Times New Roman" w:hAnsi="Times New Roman" w:eastAsia="Times New Roman" w:cs="Times New Roman"/>
      <w:b/>
      <w:bCs/>
      <w:sz w:val="22"/>
      <w:szCs w:val="22"/>
      <w:lang w:val="en-us" w:eastAsia="en-us" w:bidi="en-us"/>
    </w:rPr>
  </w:style>
  <w:style w:styleId="ListParagraph" w:type="paragraph">
    <w:name w:val="List Paragraph"/>
    <w:basedOn w:val="Normal"/>
    <w:uiPriority w:val="1"/>
    <w:qFormat/>
    <w:pPr>
      <w:ind w:left="1984"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line="227" w:lineRule="exact"/>
      <w:ind w:left="109"/>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hyperlink" Target="http://ortigueira.sedelectronica.es/" TargetMode="External"/><Relationship Id="rId9" Type="http://schemas.openxmlformats.org/officeDocument/2006/relationships/header" Target="header2.xml"/><Relationship Id="rId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2018-05-30T10:41:29Z</dcterms:created>
  <dcterms:modified xsi:type="dcterms:W3CDTF">2018-05-30T10:41:29Z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2017-01-10T00:00:00Z</vt:filetime>
  </property>
  <property fmtid="{D5CDD505-2E9C-101B-9397-08002B2CF9AE}" pid="3" name="Creator">
    <vt:lpwstr>Writer</vt:lpwstr>
  </property>
  <property fmtid="{D5CDD505-2E9C-101B-9397-08002B2CF9AE}" pid="4" name="LastSaved">
    <vt:filetime>2018-05-30T00:00:00Z</vt:filetime>
  </property>
</Properties>
</file>