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9C0" w:rsidRPr="00C059C0" w:rsidRDefault="00C059C0" w:rsidP="00C059C0">
      <w:pPr>
        <w:spacing w:after="0" w:line="240" w:lineRule="auto"/>
        <w:jc w:val="both"/>
        <w:rPr>
          <w:b/>
          <w:color w:val="385623" w:themeColor="accent6" w:themeShade="80"/>
          <w:sz w:val="28"/>
        </w:rPr>
      </w:pPr>
      <w:r w:rsidRPr="00C059C0">
        <w:rPr>
          <w:b/>
          <w:color w:val="385623" w:themeColor="accent6" w:themeShade="80"/>
          <w:sz w:val="28"/>
        </w:rPr>
        <w:t xml:space="preserve">ORDENANZA FISCAL </w:t>
      </w:r>
      <w:proofErr w:type="spellStart"/>
      <w:r w:rsidRPr="00C059C0">
        <w:rPr>
          <w:b/>
          <w:color w:val="385623" w:themeColor="accent6" w:themeShade="80"/>
          <w:sz w:val="28"/>
        </w:rPr>
        <w:t>Nº</w:t>
      </w:r>
      <w:proofErr w:type="spellEnd"/>
      <w:r w:rsidRPr="00C059C0">
        <w:rPr>
          <w:b/>
          <w:color w:val="385623" w:themeColor="accent6" w:themeShade="80"/>
          <w:sz w:val="28"/>
        </w:rPr>
        <w:t xml:space="preserve"> 21, REGULADORA DEL PRECIO PÚBLICO POR LA ENTRADA Y USO DEL TEATRO DE BENEFICENCIA</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bookmarkStart w:id="0" w:name="_GoBack"/>
      <w:r w:rsidRPr="007535BF">
        <w:rPr>
          <w:rFonts w:cstheme="minorHAnsi"/>
          <w:color w:val="1F4E79" w:themeColor="accent5" w:themeShade="80"/>
        </w:rPr>
        <w:t>CAPÍTULO I</w:t>
      </w:r>
    </w:p>
    <w:bookmarkEnd w:id="0"/>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1º. Disposición general</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En uso de las facultades concedidas por los artículos 133.2 y 142 de la Constitución española, en los artículos 4 y 106 de la ley 7/1985 de 2 de abril, reguladora de las Bases de Régimen Local, y de conformidad con lo dispuesto en los artículos 44 y siguientes del Real Decreto legislativo 2/2004 de 5 de marzo por el cual se aprueba el Texto Refundido de la Ley Reguladora de las Haciendas Locales, este Ayuntamiento establece el precio público por la entrada y utilización del Teatro de la Beneficencia de titularidad municipal, que se regirá por la presente Ordenanza cuyas normas atienden a lo previsto el RD </w:t>
      </w:r>
      <w:proofErr w:type="spellStart"/>
      <w:r w:rsidRPr="00C059C0">
        <w:rPr>
          <w:rFonts w:cstheme="minorHAnsi"/>
        </w:rPr>
        <w:t>leg</w:t>
      </w:r>
      <w:proofErr w:type="spellEnd"/>
      <w:r w:rsidRPr="00C059C0">
        <w:rPr>
          <w:rFonts w:cstheme="minorHAnsi"/>
        </w:rPr>
        <w:t xml:space="preserve"> 2/2004 de 5 de marzo.</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2º.</w:t>
      </w:r>
    </w:p>
    <w:p w:rsidR="00C059C0" w:rsidRPr="007535BF" w:rsidRDefault="00C059C0" w:rsidP="00C059C0">
      <w:pPr>
        <w:spacing w:after="0" w:line="240" w:lineRule="auto"/>
        <w:jc w:val="both"/>
        <w:rPr>
          <w:rFonts w:cstheme="minorHAnsi"/>
          <w:color w:val="1F4E79" w:themeColor="accent5" w:themeShade="80"/>
        </w:rPr>
      </w:pPr>
    </w:p>
    <w:p w:rsidR="00C059C0" w:rsidRPr="00C059C0" w:rsidRDefault="00C059C0" w:rsidP="00C059C0">
      <w:pPr>
        <w:spacing w:after="0" w:line="240" w:lineRule="auto"/>
        <w:jc w:val="both"/>
        <w:rPr>
          <w:rFonts w:cstheme="minorHAnsi"/>
        </w:rPr>
      </w:pPr>
      <w:r w:rsidRPr="00C059C0">
        <w:rPr>
          <w:rFonts w:cstheme="minorHAnsi"/>
        </w:rPr>
        <w:t>La presente Ordenanza será de aplicación en todo el término municipal de Ortigueira desde su entrada en vigor hasta su derogación o modificación.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 xml:space="preserve">CAPÍTULO II    </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3º. Hecho de la contraprestación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El hecho de la contraprestación pecuniaria del precio público regulada por esta Ordenanza está constituido por el acceso para el visionado de proyecciones cinematográficas, representaciones teatrales, conciertos musicales y otras actuaciones que se celebran en el Teatro de la Beneficencia que posee y gestiona este Ayuntamiento, así como la utilización </w:t>
      </w:r>
      <w:proofErr w:type="gramStart"/>
      <w:r w:rsidRPr="00C059C0">
        <w:rPr>
          <w:rFonts w:cstheme="minorHAnsi"/>
        </w:rPr>
        <w:t>del mismo</w:t>
      </w:r>
      <w:proofErr w:type="gramEnd"/>
      <w:r w:rsidRPr="00C059C0">
        <w:rPr>
          <w:rFonts w:cstheme="minorHAnsi"/>
        </w:rPr>
        <w:t xml:space="preserve"> para otros fines por personas físicas o jurídicas que soliciten su uso.</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 xml:space="preserve">CAPÍTULO III    </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4º. Exenciones y bonificaciones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Estará exenta del pago del precio público regulado en esta Ordenanza la utilización del Teatro por instituciones públicas o docentes y asociaciones sin ánimo de lucro de este Ayuntamiento, siempre que figuren inscritas en el Registro de Asociaciones del Ayuntamiento, excepto cobren cuotas a los beneficiarios de cursos, clases u otras actividades en cuyo caso deberán abonar el importe íntegro de su utilización.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 xml:space="preserve">CAPÍTULO IV    </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lastRenderedPageBreak/>
        <w:t>Artículo 5º. Obligados al pago</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Están obligados al pago de este precio público las personas físicas o jurídicas que accedan o utilicen las instalaciones descritas en el artículo 3º de la presente Ordenanza.</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 xml:space="preserve">CAPÍTULO V    </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6º. Cuantía</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La cuantía del precio público regulada en esta Ordenanzas será la fijada en la tarifa contenida en el Anexo I.</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7º.</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La tarifa contenida en el Anexo I le serán de aplicación las normas siguientes: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a) La adquisición de entradas para el acceso a la sala, únicamente dará derecho al disfrute del visionado de representaciones teatrales, películas cinematográficas, conciertos y otras actuaciones durante la jornada y sesión para la que fueron expedidas.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b) Las utilizaciones de uso de las instalaciones contenidas en el epígrafe 2º, se entenderán caducadas con el transcurso del tiempo concertado. La permanencia en aquellas instalaciones por un periodo de tiempo mayor de lo autorizado supondrá, automáticamente, el nacimiento de una nueva obligación de pago por un nuevo periodo de tiempo.</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 xml:space="preserve">CAPÍTULO VI    </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8º. Obligación de pago</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1. La obligación del pago del precio público regulado en esta Ordenanza nace desde la solicitud de cada entrada en la sala, para las concesiones de utilización de la sala, la obligación se entenderá nacida desde el momento de la concesión.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2. El pago del precio público se realizará:</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a) En los casos previstos en el epígrafe primero de la tarifa en el momento de entrar al Teatro.</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b) En los demás casos, desde el momento de la concesión de las correspondientes autorizaciones de uso y hasta un día hábil inmediatamente anterior al uso del teatro.</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9º</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Los periodos señalados en la tarifa del Anexo I de la presente </w:t>
      </w:r>
      <w:proofErr w:type="gramStart"/>
      <w:r w:rsidRPr="00C059C0">
        <w:rPr>
          <w:rFonts w:cstheme="minorHAnsi"/>
        </w:rPr>
        <w:t>Ordenanza,</w:t>
      </w:r>
      <w:proofErr w:type="gramEnd"/>
      <w:r w:rsidRPr="00C059C0">
        <w:rPr>
          <w:rFonts w:cstheme="minorHAnsi"/>
        </w:rPr>
        <w:t xml:space="preserve"> tendrán el carácter de irreducibles cualquiera que sea el momento del inicio de la utilización de las instalaciones.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lastRenderedPageBreak/>
        <w:t xml:space="preserve">CAPITULO VII    </w:t>
      </w:r>
    </w:p>
    <w:p w:rsid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Gestión del precio público</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SECCIÓN 1ª.- OBLIGACIONES MATERIALES Y FORMALES:</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10.</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1.- Las personas físicas o jurídicas y las entidades interesadas en el acceso a las instalaciones reguladas en esta </w:t>
      </w:r>
      <w:proofErr w:type="gramStart"/>
      <w:r w:rsidRPr="00C059C0">
        <w:rPr>
          <w:rFonts w:cstheme="minorHAnsi"/>
        </w:rPr>
        <w:t>Ordenanza ,</w:t>
      </w:r>
      <w:proofErr w:type="gramEnd"/>
      <w:r w:rsidRPr="00C059C0">
        <w:rPr>
          <w:rFonts w:cstheme="minorHAnsi"/>
        </w:rPr>
        <w:t xml:space="preserve"> vendrán obligadas a la adquisición del correspondiente </w:t>
      </w:r>
      <w:proofErr w:type="spellStart"/>
      <w:r w:rsidRPr="00C059C0">
        <w:rPr>
          <w:rFonts w:cstheme="minorHAnsi"/>
        </w:rPr>
        <w:t>tiquet</w:t>
      </w:r>
      <w:proofErr w:type="spellEnd"/>
      <w:r w:rsidRPr="00C059C0">
        <w:rPr>
          <w:rFonts w:cstheme="minorHAnsi"/>
        </w:rPr>
        <w:t xml:space="preserve"> de entrada al recinto señalado en la misma en la forma y lugares que reglamentariamente se determine.</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2.- Para los casos de la utilización del Teatro, las personas y entidades interesadas presentarán en el Registro General del Ayuntamiento con una antelación mínima de diez días, solicitud detallando como mínimo la fecha, uso previsto, duración y demás datos necesarios para el otorgamiento de la correspondiente autorización</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11º.</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El acceso al Teatro obliga, por </w:t>
      </w:r>
      <w:proofErr w:type="spellStart"/>
      <w:r w:rsidRPr="00C059C0">
        <w:rPr>
          <w:rFonts w:cstheme="minorHAnsi"/>
        </w:rPr>
        <w:t>si</w:t>
      </w:r>
      <w:proofErr w:type="spellEnd"/>
      <w:r w:rsidRPr="00C059C0">
        <w:rPr>
          <w:rFonts w:cstheme="minorHAnsi"/>
        </w:rPr>
        <w:t xml:space="preserve"> mismo, a la aceptación de las normas de utilización que por el Ayuntamiento u órgano gestor en cada caso se establezcan.</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12º.</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El Muy Noble Ayuntamiento de Ortigueira se reserva el derecho de admisión al Teatro en la representación de obras teatrales y programación de películas y otros actos por él gestionados.</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13º.</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Las autorizaciones de uso que se concedan tendrán carácter personal y no podrán ser cedidas y subarrendadas a terceras personas. El incumplimiento de este mandato dará lugar a la anulación de la autorización sin derecho a devolución o indemnización del precio público abonado.</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El concesionario será responsable de los daños que se causen al Teatro y mobiliario existente en el mismo.</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SECCIÓN 2ª.- INSPECCIÓN Y RECAUDACIÓN:</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14º</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Las inspecciones y recaudaciones de este precio público se realizarán de acuerdo con lo previsto en el artículo 8º.2 de esta Ordenanza y subsidiariamente, por lo establecido en la Ley General </w:t>
      </w:r>
      <w:r w:rsidRPr="00C059C0">
        <w:rPr>
          <w:rFonts w:cstheme="minorHAnsi"/>
        </w:rPr>
        <w:lastRenderedPageBreak/>
        <w:t>Tributaria y las demás leyes reguladoras de la materia, así como en las disposiciones que se dicten para su desarrollo.</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Sección 3ª.- infracciones y sanciones:</w:t>
      </w:r>
    </w:p>
    <w:p w:rsidR="00C059C0" w:rsidRDefault="00C059C0" w:rsidP="00C059C0">
      <w:pPr>
        <w:spacing w:after="0" w:line="240" w:lineRule="auto"/>
        <w:jc w:val="both"/>
        <w:rPr>
          <w:rFonts w:cstheme="minorHAnsi"/>
        </w:rPr>
      </w:pPr>
    </w:p>
    <w:p w:rsidR="007535BF" w:rsidRPr="00C059C0" w:rsidRDefault="007535BF"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Artículo 15º.</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En todo lo relativo a la calificación de las infracciones a la presente Ordenanza, así como a la determinación de las sanciones que por las mismas correspondan en cada caso, se aplicará el régimen regulado en los artículos 58 y 59 del Real Decreto Legislativo 781/1986, de 18 de abril, y, subsidiariamente, el de la Ley General Tributaria y las disposiciones que la complementan y desarrollan.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 xml:space="preserve">DISPOSICIÓN FINAL    </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La presente Ordenanza entrará en vigor tras la preceptiva exposición pública de la misma y será de aplicación de acuerdo con lo dispuesto en el RD legislativo 2/2004 de 5 de marzo por la cual se aprueba el Texto refundido de la Ley reguladora de las Haciendas Locales.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p>
    <w:p w:rsidR="00C059C0" w:rsidRPr="007535BF" w:rsidRDefault="00C059C0" w:rsidP="00C059C0">
      <w:pPr>
        <w:spacing w:after="0" w:line="240" w:lineRule="auto"/>
        <w:jc w:val="both"/>
        <w:rPr>
          <w:rFonts w:cstheme="minorHAnsi"/>
          <w:color w:val="1F4E79" w:themeColor="accent5" w:themeShade="80"/>
        </w:rPr>
      </w:pPr>
      <w:r w:rsidRPr="007535BF">
        <w:rPr>
          <w:rFonts w:cstheme="minorHAnsi"/>
          <w:color w:val="1F4E79" w:themeColor="accent5" w:themeShade="80"/>
        </w:rPr>
        <w:t xml:space="preserve">ANEXO I    </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Epígrafe I</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Entrada al Teatro de la Beneficencia</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1.1 Menores de 14 años: precio mínimo, 0,68 euros; máximo 1,33 euros.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1.2 Mayores de 14 años: precio mínimo 1,99 euros; máximo 4,64 euros.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1.3 Día del espectador: el 50% de los precios anteriores.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El cobro de un precio superior al mínimo fijado será autorizado por el Sr. </w:t>
      </w:r>
      <w:proofErr w:type="gramStart"/>
      <w:r w:rsidRPr="00C059C0">
        <w:rPr>
          <w:rFonts w:cstheme="minorHAnsi"/>
        </w:rPr>
        <w:t>Alcalde</w:t>
      </w:r>
      <w:proofErr w:type="gramEnd"/>
      <w:r w:rsidRPr="00C059C0">
        <w:rPr>
          <w:rFonts w:cstheme="minorHAnsi"/>
        </w:rPr>
        <w:t>, teniendo en cuenta el coste del espectáculo y día y hora de celebración.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Epígrafe II</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Utilización del Teatro</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2.1 Utilización del local en días laborales, de 8 a 15 horas, 19,93 euros/hora o fracción.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2.2 Utilización del local en días laborables, de 15 a 20 horas, 26,55 euros/hora o fracción.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2.3 Utilización del local en días laborales, de 20 horas en adelante, 33,20 euros/hora o fracción.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2.4 Utilización del local sábados, domingos y festivos, de 8 a 15 horas, 26,55 euros/hora o fracción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lastRenderedPageBreak/>
        <w:t>2.5 Utilización del local sábados, domingos y festivos, de 15 a 20 horas, 33,16 euros/hora o fracción.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2.6 Utilización del local sábados, domingos y festivos, de 20 horas en adelante, 38,80 euros/hora o fracción.</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Epígrafe III</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Entrada al teatro en actos o funciones especiales</w:t>
      </w:r>
    </w:p>
    <w:p w:rsidR="00C059C0" w:rsidRPr="00C059C0" w:rsidRDefault="00C059C0" w:rsidP="00C059C0">
      <w:pPr>
        <w:spacing w:after="0" w:line="240" w:lineRule="auto"/>
        <w:jc w:val="both"/>
        <w:rPr>
          <w:rFonts w:cstheme="minorHAnsi"/>
        </w:rPr>
      </w:pPr>
    </w:p>
    <w:p w:rsidR="00C059C0" w:rsidRPr="00C059C0" w:rsidRDefault="00C059C0" w:rsidP="00C059C0">
      <w:pPr>
        <w:spacing w:after="0" w:line="240" w:lineRule="auto"/>
        <w:jc w:val="both"/>
        <w:rPr>
          <w:rFonts w:cstheme="minorHAnsi"/>
        </w:rPr>
      </w:pPr>
      <w:r w:rsidRPr="00C059C0">
        <w:rPr>
          <w:rFonts w:cstheme="minorHAnsi"/>
        </w:rPr>
        <w:t xml:space="preserve">3.1 Representaciones teatrales, musicales u otras gestionadas por el Ayuntamiento. La tarifa a aplicar será la fijada por el Sr. </w:t>
      </w:r>
      <w:proofErr w:type="gramStart"/>
      <w:r w:rsidRPr="00C059C0">
        <w:rPr>
          <w:rFonts w:cstheme="minorHAnsi"/>
        </w:rPr>
        <w:t>Alcalde</w:t>
      </w:r>
      <w:proofErr w:type="gramEnd"/>
      <w:r w:rsidRPr="00C059C0">
        <w:rPr>
          <w:rFonts w:cstheme="minorHAnsi"/>
        </w:rPr>
        <w:t xml:space="preserve"> u órgano en quien delegue, de acuerdo con el coste de representación, así como si la misma está o no subvencionada por otras Administraciones Públicas.</w:t>
      </w:r>
    </w:p>
    <w:p w:rsidR="00C059C0" w:rsidRDefault="00C059C0"/>
    <w:sectPr w:rsidR="00C059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9C0"/>
    <w:rsid w:val="007535BF"/>
    <w:rsid w:val="00C059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49FFA"/>
  <w15:chartTrackingRefBased/>
  <w15:docId w15:val="{A5258A8F-B74E-4B16-B761-D8E14106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1301</Words>
  <Characters>6549</Characters>
  <Application>Microsoft Office Word</Application>
  <DocSecurity>0</DocSecurity>
  <Lines>218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2018-06-20T15:19:00Z</dcterms:created>
  <dcterms:modified xsi:type="dcterms:W3CDTF">2018-06-20T15:34:00Z</dcterms:modified>
</cp:coreProperties>
</file>