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B2" w:rsidRPr="007825B2" w:rsidRDefault="007825B2" w:rsidP="007825B2">
      <w:pPr>
        <w:spacing w:after="0" w:line="240" w:lineRule="auto"/>
        <w:jc w:val="both"/>
        <w:rPr>
          <w:b/>
          <w:color w:val="385623" w:themeColor="accent6" w:themeShade="80"/>
          <w:sz w:val="28"/>
        </w:rPr>
      </w:pPr>
      <w:r w:rsidRPr="007825B2">
        <w:rPr>
          <w:b/>
          <w:color w:val="385623" w:themeColor="accent6" w:themeShade="80"/>
          <w:sz w:val="28"/>
        </w:rPr>
        <w:t xml:space="preserve">ORDENANZA FISCAL </w:t>
      </w:r>
      <w:proofErr w:type="spellStart"/>
      <w:r w:rsidRPr="007825B2">
        <w:rPr>
          <w:b/>
          <w:color w:val="385623" w:themeColor="accent6" w:themeShade="80"/>
          <w:sz w:val="28"/>
        </w:rPr>
        <w:t>Nº</w:t>
      </w:r>
      <w:proofErr w:type="spellEnd"/>
      <w:r w:rsidRPr="007825B2">
        <w:rPr>
          <w:b/>
          <w:color w:val="385623" w:themeColor="accent6" w:themeShade="80"/>
          <w:sz w:val="28"/>
        </w:rPr>
        <w:t xml:space="preserve"> 12, REGULADORA DE LA TASA POR ENTRADA DE VEHÍCULOS A TRAVES DE LAS ACERAS Y RESERVAS DE VÍA PÚBLICA PARA APARCAMIENTO EXCLUSIVO, CARGA Y DESCARGA DE MERCANCÍAS DE CUALQUIER CLASE</w:t>
      </w:r>
    </w:p>
    <w:p w:rsid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Fundamento y régimen. Artículo 1.</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1. Este Ayuntamiento, conforme a lo autorizado por el artículo 106 de la Ley 7/85, del 2 de abril, reguladora de las Bases del Régimen Local, y de acuerdo con lo previsto en el artículo 20.3 .h) de la Ley 39/88, del 28 de diciembre, reguladora de las Haciendas Locales, establece a tasa por entrada de vehículos a través de las aceras y reservas de vía pública para aparcamiento exclusivo, carga y descarga de mercancías de cualquier clase, que se regulará por la presente ordenanza, redactada conforme a lo dispuesto en el artículo 16 de la Ley 39/88 citada.</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2. Será objeto de este tributo:</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a) La entrada o paso de vehículos y carruajes en los edificios y solares.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b) La reserva de espacios en las vías y terrenos de uso público para carga y descarga de mercancías a solicitud de entidades, empresas y particulares.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Hecho imponible. Artículo 2.</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Está constituido por la realización sobre la vía o terrenos de uso público de cualesquiera de los aprovechamientos enumerados en el número 2 del artículo 1 de esta ordenanza, y la obligación de contribuir nace desde el momento en que el aprovechamiento se inicie.</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 xml:space="preserve"> </w:t>
      </w: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Devengo. Artículo 3.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El tributo se considerará devengado al iniciarse alguno de los aprovechamientos objeto de esta ordenanza, y anualmente, el 1 de enero de cada año. Exigiéndose previamente el depósito total de su importe, salvo en los períodos anuales sucesivos al alta inicial.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Sujetos pasivos. Artículo 4.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Están solidariamente obligados al pago, en concepto de contribuyentes: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a) Las personas naturales o jurídicas titulares de la respectiva licencia municipal.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b) Los propietarios de los inmuebles donde se hallan establecidas las entradas o pasos de carruajes.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c) Las empresas, entidades o particulares beneficiarios de los aprovechamientos enumerados en los apartados b) y c) del artículo 1, número 2, de esta ordenanza.</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Base imponible y liquidable. Artículo 5.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Se tomará como base del presente tributo la longitud en metros lineales de la entrada o paso de carruajes y de la reserva de espacio, distancia que se computará en el punto de mayor amplitud o anchura del aprovechamiento.</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Artículo 6.    redacciones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roofErr w:type="gramStart"/>
      <w:r w:rsidRPr="007825B2">
        <w:rPr>
          <w:rFonts w:cstheme="minorHAnsi"/>
        </w:rPr>
        <w:t>Las tarifas a aplicar</w:t>
      </w:r>
      <w:proofErr w:type="gramEnd"/>
      <w:r w:rsidRPr="007825B2">
        <w:rPr>
          <w:rFonts w:cstheme="minorHAnsi"/>
        </w:rPr>
        <w:t xml:space="preserve"> serán las siguientes: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1. Locales destinados a garajes públicos considerados como tales en el impuesto de actividades económicas, al año: 21,30 €/ml.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 xml:space="preserve">2. Locales, </w:t>
      </w:r>
      <w:proofErr w:type="gramStart"/>
      <w:r w:rsidRPr="007825B2">
        <w:rPr>
          <w:rFonts w:cstheme="minorHAnsi"/>
        </w:rPr>
        <w:t>que</w:t>
      </w:r>
      <w:proofErr w:type="gramEnd"/>
      <w:r w:rsidRPr="007825B2">
        <w:rPr>
          <w:rFonts w:cstheme="minorHAnsi"/>
        </w:rPr>
        <w:t xml:space="preserve"> sin ser garajes públicos, encierren más de cuatro vehículos, y talleres de reparaciones o análogos de carruajes de todas clases, al año: 21,30 €/ml.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3. Entradas a locales o espacios de cualquier clase que estacionen vehículos de turismo, camiones o coches de reparto, taxímetros y cualquier vehículo de motor, así como carros agrícolas y de cualquier naturaleza, al año: 21,30 €/ml.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Las tarifas anteriores, amparan la entrada a los citados domicilios, locales o superficies de estacionamiento, hasta una extensión de 3 metros lineales de anchura de la acera.</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Responsables. Artículo 7.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solidarios de las infracciones cometidas en este régimen de tributación.</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2. Los copartícipes o cotitulares de las herencias yacentes, comunidades de bienes y demás entidades que, carentes de personalidad jurídica, constituyan una unidad económica o un patrimonio separado, susceptible de imposición y responderán solidariamente y en proporción a sus respectivas participaciones de las obligaciones tributarias de dichas entidades.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3. Serán responsables subsidiarios de las infracciones simples y de la totalidad de la deuda tributaria en caso de infracciones graves cometidas por las personas jurídicas, los administradores de aquellas que no realicen los actos necesarios de su incumbencia, para el cumplimiento de las obligaciones tributarias infringidas, consintieran en el incumplimiento por quienes dependan de ellos o adopten acuerdos que hicieran posibles las infracciones. Asimismo, tales administradores responderán subsidiariamente de las obligaciones tributarias que estén pendientes de cumplimentar por las personas jurídicas que hayan cesado en sus actividades.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4. Serán responsables subsidiarios los síndicos, interventores o liquidadores de quiebras, concursos, sociedades y entidades en general, cuando por negligencia o mala fe no realicen las gestiones necesarias para el total cumplimiento de las obligaciones tributarias devengadas con anterioridad a dichas situaciones y que sean imputables a los respectivos sujetos pasivos.</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Normas de gestión. Artículo 8.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lastRenderedPageBreak/>
        <w:t>1. Las entidades o particulares interesados en la concesión de los aprovechamientos regulados por esta ordenanza presentarán en el Ayuntamiento solicitud detallada de la extensión y carácter del aprovechamiento requerido.</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2. También deberán presentar la oportuna declaración en caso de alteración o baja de los aprovechamientos ya concedidos desde que el hecho se produzca hasta el último día del mes natural siguiente al en que tal hecho tuvo lugar. Quienes incumplan tal obligación seguirán obligados al pago del tributo. Tales declaraciones surtirán efecto a partir del semestre siguiente a aquel en que se formulen.</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3. Los titulares de las licencias, incluso los que estuvieran exentos del pago de derechos, deberán proveerse de placas reglamentarias para la señalización del aprovechamiento. En tales placas constará el número de registro de la autorización y deberán ser instaladas, de forma permanente, delimitando la longitud del aprovechamiento.</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4. La falta de instalación de las placas o el empleo de otras distintas a las reglamentarias, impedirá a los titulares de las licencias el ejercicio de su derecho al aprovechamiento.</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5. Los titulares de las licencias, habrán de ajustar las placas reglamentarias de que han de proveerse, al modelo en cuando a dimensiones y estructura que el Ayuntamiento tenga establecido. Pudiendo adquirir las placas en donde estimen pertinente, si bien el Ayuntamiento las facilitará a quien lo solicite, previo pago de su importe, según haya fijado la corporación.</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Exenciones, reducciones y demás beneficios legalmente aplicables. Artículo 9.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De conformidad con lo dispuesto en el artículo 9 de la Ley 39/88, del 28 de diciembre, no se reconoce beneficio tributario alguno, salvo que sean consecuencia de lo establecido en los tratados o acuerdos internacionales, o los expresamente previstos en normas con rango de ley.</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El Estado, las comunidades autónomas y las entidades locales no estarán obligados a pago del as tasas por utilización privativa o aprovechamiento especial del dominio público por los aprovechamientos inherentes a los servicios públicos de comunicaciones que exploten directamente y por todos los que inmediatamente interesen a la seguridad ciudadana o a la defensa nacional.</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r w:rsidRPr="007825B2">
        <w:rPr>
          <w:rFonts w:cstheme="minorHAnsi"/>
          <w:color w:val="1F4E79" w:themeColor="accent5" w:themeShade="80"/>
        </w:rPr>
        <w:t xml:space="preserve">Infracciones y sanciones tributarias. Artículo 10.    </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En todo lo relativo a la calificación de infracciones tributarias y sanciones, además de lo previsto en esta ordenanza, se estará a lo dispuesto en los artículos 77 y siguientes de la Ley General Tributaria y demás normativa aplicable.</w:t>
      </w: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color w:val="1F4E79" w:themeColor="accent5" w:themeShade="80"/>
        </w:rPr>
      </w:pPr>
      <w:bookmarkStart w:id="0" w:name="_GoBack"/>
      <w:r w:rsidRPr="007825B2">
        <w:rPr>
          <w:rFonts w:cstheme="minorHAnsi"/>
          <w:color w:val="1F4E79" w:themeColor="accent5" w:themeShade="80"/>
        </w:rPr>
        <w:t xml:space="preserve">Disposición final.    </w:t>
      </w:r>
    </w:p>
    <w:bookmarkEnd w:id="0"/>
    <w:p w:rsidR="007825B2" w:rsidRPr="007825B2" w:rsidRDefault="007825B2" w:rsidP="007825B2">
      <w:pPr>
        <w:spacing w:after="0" w:line="240" w:lineRule="auto"/>
        <w:jc w:val="both"/>
        <w:rPr>
          <w:rFonts w:cstheme="minorHAnsi"/>
        </w:rPr>
      </w:pPr>
    </w:p>
    <w:p w:rsidR="007825B2" w:rsidRPr="007825B2" w:rsidRDefault="007825B2" w:rsidP="007825B2">
      <w:pPr>
        <w:spacing w:after="0" w:line="240" w:lineRule="auto"/>
        <w:jc w:val="both"/>
        <w:rPr>
          <w:rFonts w:cstheme="minorHAnsi"/>
        </w:rPr>
      </w:pPr>
      <w:r w:rsidRPr="007825B2">
        <w:rPr>
          <w:rFonts w:cstheme="minorHAnsi"/>
        </w:rPr>
        <w:t>La presente ordenanza fiscal entrará en vigor al día siguiente de su publicación en el BOP, permaneciendo en vigor hasta su modificación o derogación expresa.</w:t>
      </w:r>
    </w:p>
    <w:sectPr w:rsidR="007825B2" w:rsidRPr="007825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B2"/>
    <w:rsid w:val="00782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6382"/>
  <w15:chartTrackingRefBased/>
  <w15:docId w15:val="{1DA7E75A-0AE4-42AB-A963-0E6BF51F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2018-06-14T07:03:00Z</dcterms:created>
  <dcterms:modified xsi:type="dcterms:W3CDTF">2018-06-14T07:07:00Z</dcterms:modified>
</cp:coreProperties>
</file>