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8"/>
        </w:rPr>
      </w:pPr>
    </w:p>
    <w:p>
      <w:pPr>
        <w:pStyle w:val="BodyText"/>
        <w:spacing w:line="20" w:lineRule="exact"/>
        <w:ind w:left="1357"/>
        <w:rPr>
          <w:sz w:val="2"/>
        </w:rPr>
      </w:pPr>
      <w:r>
        <w:rPr>
          <w:sz w:val="2"/>
        </w:rPr>
        <w:pict>
          <v:group style="width:425.1pt;height:.5pt;mso-position-horizontal-relative:char;mso-position-vertical-relative:line" coordorigin="0,0" coordsize="8502,10">
            <v:line style="position:absolute" from="0,5" to="8502,5" stroked="true" strokeweight=".5pt" strokecolor="#000000">
              <v:stroke dashstyle="solid"/>
            </v:line>
          </v:group>
        </w:pict>
      </w:r>
      <w:r>
        <w:rPr>
          <w:sz w:val="2"/>
        </w:rPr>
      </w:r>
    </w:p>
    <w:p>
      <w:pPr>
        <w:pStyle w:val="BodyText"/>
        <w:spacing w:before="5"/>
        <w:rPr>
          <w:sz w:val="13"/>
        </w:rPr>
      </w:pPr>
      <w:r>
        <w:rPr/>
        <w:pict>
          <v:shape style="position:absolute;margin-left:80.849998pt;margin-top:9.972071pt;width:433.7pt;height:82pt;mso-position-horizontal-relative:page;mso-position-vertical-relative:paragraph;z-index:1048;mso-wrap-distance-left:0;mso-wrap-distance-right:0" type="#_x0000_t202" filled="false" stroked="true" strokeweight=".5pt" strokecolor="#000000">
            <v:textbox inset="0,0,0,0">
              <w:txbxContent>
                <w:p>
                  <w:pPr>
                    <w:pStyle w:val="BodyText"/>
                    <w:rPr>
                      <w:sz w:val="28"/>
                    </w:rPr>
                  </w:pPr>
                </w:p>
                <w:p>
                  <w:pPr>
                    <w:spacing w:before="0"/>
                    <w:ind w:left="82" w:right="0" w:firstLine="0"/>
                    <w:jc w:val="left"/>
                    <w:rPr>
                      <w:b/>
                      <w:sz w:val="28"/>
                    </w:rPr>
                  </w:pPr>
                  <w:r>
                    <w:rPr>
                      <w:b/>
                      <w:sz w:val="28"/>
                    </w:rPr>
                    <w:t>DE: INTERVENTORA MUNICIPAL.</w:t>
                  </w:r>
                </w:p>
                <w:p>
                  <w:pPr>
                    <w:spacing w:before="0"/>
                    <w:ind w:left="81" w:right="0" w:firstLine="0"/>
                    <w:jc w:val="left"/>
                    <w:rPr>
                      <w:b/>
                      <w:sz w:val="28"/>
                    </w:rPr>
                  </w:pPr>
                  <w:r>
                    <w:rPr>
                      <w:b/>
                      <w:sz w:val="28"/>
                    </w:rPr>
                    <w:t>DESTINATARIOS: SR. ALCALDE-PRESIDENTE E MEMBROS DO PLENO DA CORPORACIÓN.</w:t>
                  </w:r>
                </w:p>
              </w:txbxContent>
            </v:textbox>
            <v:stroke dashstyle="solid"/>
            <w10:wrap type="topAndBottom"/>
          </v:shape>
        </w:pict>
      </w:r>
      <w:r>
        <w:rPr/>
        <w:drawing>
          <wp:anchor distT="0" distB="0" distL="0" distR="0" allowOverlap="1" layoutInCell="1" locked="0" behindDoc="0" simplePos="0" relativeHeight="1072">
            <wp:simplePos x="0" y="0"/>
            <wp:positionH relativeFrom="page">
              <wp:posOffset>342900</wp:posOffset>
            </wp:positionH>
            <wp:positionV relativeFrom="paragraph">
              <wp:posOffset>2364639</wp:posOffset>
            </wp:positionV>
            <wp:extent cx="198120" cy="29717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98120" cy="297179"/>
                    </a:xfrm>
                    <a:prstGeom prst="rect">
                      <a:avLst/>
                    </a:prstGeom>
                  </pic:spPr>
                </pic:pic>
              </a:graphicData>
            </a:graphic>
          </wp:anchor>
        </w:drawing>
      </w:r>
      <w:r>
        <w:rPr/>
        <w:pict>
          <v:shape style="position:absolute;margin-left:80.849998pt;margin-top:105.172073pt;width:433.7pt;height:99.1pt;mso-position-horizontal-relative:page;mso-position-vertical-relative:paragraph;z-index:1096;mso-wrap-distance-left:0;mso-wrap-distance-right:0" type="#_x0000_t202" filled="true" fillcolor="#d9d9d9" stroked="true" strokeweight=".5pt" strokecolor="#000000">
            <v:textbox inset="0,0,0,0">
              <w:txbxContent>
                <w:p>
                  <w:pPr>
                    <w:spacing w:before="20"/>
                    <w:ind w:left="81" w:right="85" w:firstLine="0"/>
                    <w:jc w:val="both"/>
                    <w:rPr>
                      <w:b/>
                      <w:sz w:val="28"/>
                    </w:rPr>
                  </w:pPr>
                  <w:r>
                    <w:rPr>
                      <w:b/>
                      <w:sz w:val="28"/>
                    </w:rPr>
                    <w:t>ASUNTO</w:t>
                  </w:r>
                  <w:r>
                    <w:rPr>
                      <w:b/>
                      <w:sz w:val="22"/>
                    </w:rPr>
                    <w:t>: </w:t>
                  </w:r>
                  <w:r>
                    <w:rPr>
                      <w:b/>
                      <w:sz w:val="28"/>
                    </w:rPr>
                    <w:t>Informe que, de acordo co disposto no art. 168.4 do Real Decreto Lexislativo 2/ 2004 polo que se aproba a Lei reguladora das Facendas Locais e art. 18.4 do Real decreto 500/90 se emite pola Interventora municipal, en relación co Proxecto de Orzamento para o ano 2015, formado pola Alcaldía e remitido Pleno da  Corporación para a súa</w:t>
                  </w:r>
                  <w:r>
                    <w:rPr>
                      <w:b/>
                      <w:spacing w:val="0"/>
                      <w:sz w:val="28"/>
                    </w:rPr>
                    <w:t> </w:t>
                  </w:r>
                  <w:r>
                    <w:rPr>
                      <w:b/>
                      <w:sz w:val="28"/>
                    </w:rPr>
                    <w:t>aprobación.</w:t>
                  </w:r>
                </w:p>
              </w:txbxContent>
            </v:textbox>
            <v:fill type="solid"/>
            <v:stroke dashstyle="solid"/>
            <w10:wrap type="topAndBottom"/>
          </v:shape>
        </w:pict>
      </w:r>
    </w:p>
    <w:p>
      <w:pPr>
        <w:pStyle w:val="BodyText"/>
        <w:spacing w:before="2"/>
        <w:rPr>
          <w:sz w:val="16"/>
        </w:rPr>
      </w:pPr>
    </w:p>
    <w:p>
      <w:pPr>
        <w:pStyle w:val="Heading4"/>
        <w:numPr>
          <w:ilvl w:val="0"/>
          <w:numId w:val="1"/>
        </w:numPr>
        <w:tabs>
          <w:tab w:pos="1578" w:val="left" w:leader="none"/>
        </w:tabs>
        <w:spacing w:line="240" w:lineRule="auto" w:before="122" w:after="0"/>
        <w:ind w:left="1577" w:right="0" w:hanging="213"/>
        <w:jc w:val="left"/>
      </w:pPr>
      <w:r>
        <w:rPr/>
        <w:t>DOCUMENTACIÓN QUE INCORPORA O</w:t>
      </w:r>
      <w:r>
        <w:rPr>
          <w:spacing w:val="-16"/>
        </w:rPr>
        <w:t> </w:t>
      </w:r>
      <w:r>
        <w:rPr/>
        <w:t>EXPEDIENTE.</w:t>
      </w:r>
    </w:p>
    <w:p>
      <w:pPr>
        <w:pStyle w:val="BodyText"/>
        <w:rPr>
          <w:b/>
        </w:rPr>
      </w:pPr>
    </w:p>
    <w:p>
      <w:pPr>
        <w:pStyle w:val="BodyText"/>
        <w:ind w:left="1363" w:right="1707" w:firstLine="708"/>
        <w:jc w:val="both"/>
      </w:pPr>
      <w:r>
        <w:rPr/>
        <w:pict>
          <v:shape style="position:absolute;margin-left:20pt;margin-top:-244.930481pt;width:29pt;height:230.7pt;mso-position-horizontal-relative:page;mso-position-vertical-relative:paragraph;z-index:-22744" type="#_x0000_t202" filled="false" stroked="true" strokeweight=".5pt" strokecolor="#808080">
            <v:textbox inset="0,0,0,0" style="layout-flow:vertical;mso-layout-flow-alt:bottom-to-top">
              <w:txbxContent>
                <w:p>
                  <w:pPr>
                    <w:spacing w:line="208" w:lineRule="auto" w:before="57"/>
                    <w:ind w:left="1214" w:right="1899" w:firstLine="0"/>
                    <w:jc w:val="left"/>
                    <w:rPr>
                      <w:rFonts w:ascii="Arial"/>
                      <w:sz w:val="12"/>
                    </w:rPr>
                  </w:pPr>
                  <w:r>
                    <w:rPr>
                      <w:rFonts w:ascii="Arial"/>
                      <w:b/>
                      <w:sz w:val="12"/>
                    </w:rPr>
                    <w:t>Yolanda Ares Bao (1 de 1) </w:t>
                  </w:r>
                  <w:r>
                    <w:rPr>
                      <w:rFonts w:ascii="Arial"/>
                      <w:sz w:val="12"/>
                    </w:rPr>
                    <w:t>Interventora</w:t>
                  </w:r>
                </w:p>
                <w:p>
                  <w:pPr>
                    <w:spacing w:line="114" w:lineRule="exact" w:before="0"/>
                    <w:ind w:left="1214" w:right="0" w:firstLine="0"/>
                    <w:jc w:val="left"/>
                    <w:rPr>
                      <w:rFonts w:ascii="Arial"/>
                      <w:sz w:val="12"/>
                    </w:rPr>
                  </w:pPr>
                  <w:r>
                    <w:rPr>
                      <w:rFonts w:ascii="Arial"/>
                      <w:sz w:val="12"/>
                    </w:rPr>
                    <w:t>Fecha Firma: 16/01/2017</w:t>
                  </w:r>
                </w:p>
                <w:p>
                  <w:pPr>
                    <w:spacing w:line="129" w:lineRule="exact" w:before="0"/>
                    <w:ind w:left="1214" w:right="0" w:firstLine="0"/>
                    <w:jc w:val="left"/>
                    <w:rPr>
                      <w:rFonts w:ascii="Arial"/>
                      <w:sz w:val="12"/>
                    </w:rPr>
                  </w:pPr>
                  <w:r>
                    <w:rPr>
                      <w:rFonts w:ascii="Arial"/>
                      <w:sz w:val="12"/>
                    </w:rPr>
                    <w:t>HASH: 43fa98118b204b3d0b61cbe29a7e6187</w:t>
                  </w:r>
                </w:p>
              </w:txbxContent>
            </v:textbox>
            <v:stroke dashstyle="solid"/>
            <w10:wrap type="none"/>
          </v:shape>
        </w:pict>
      </w:r>
      <w:r>
        <w:rPr/>
        <w:pict>
          <v:shape style="position:absolute;margin-left:535.991211pt;margin-top:-109.087677pt;width:32.9pt;height:247.2pt;mso-position-horizontal-relative:page;mso-position-vertical-relative:paragraph;z-index:1192"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t>O expediente de Proxecto de Orzamento para o exercicio 2016 presentado nesta Intervención incorpora a seguinte documentación:</w:t>
      </w:r>
    </w:p>
    <w:p>
      <w:pPr>
        <w:pStyle w:val="BodyText"/>
        <w:spacing w:before="1"/>
        <w:rPr>
          <w:sz w:val="20"/>
        </w:rPr>
      </w:pPr>
    </w:p>
    <w:p>
      <w:pPr>
        <w:pStyle w:val="ListParagraph"/>
        <w:numPr>
          <w:ilvl w:val="1"/>
          <w:numId w:val="1"/>
        </w:numPr>
        <w:tabs>
          <w:tab w:pos="2789" w:val="left" w:leader="none"/>
          <w:tab w:pos="2790" w:val="left" w:leader="none"/>
        </w:tabs>
        <w:spacing w:line="199" w:lineRule="auto" w:before="0" w:after="0"/>
        <w:ind w:left="2790" w:right="1701" w:hanging="360"/>
        <w:jc w:val="left"/>
        <w:rPr>
          <w:sz w:val="22"/>
        </w:rPr>
      </w:pPr>
      <w:r>
        <w:rPr>
          <w:sz w:val="22"/>
        </w:rPr>
        <w:t>Memoria subscrita polo Alcalde-Presidente da Corporación, explicativa das principias modificacións que presente o Orzamento respecto ó</w:t>
      </w:r>
      <w:r>
        <w:rPr>
          <w:spacing w:val="-12"/>
          <w:sz w:val="22"/>
        </w:rPr>
        <w:t> </w:t>
      </w:r>
      <w:r>
        <w:rPr>
          <w:spacing w:val="-3"/>
          <w:sz w:val="22"/>
        </w:rPr>
        <w:t>anterior.</w:t>
      </w:r>
    </w:p>
    <w:p>
      <w:pPr>
        <w:pStyle w:val="ListParagraph"/>
        <w:numPr>
          <w:ilvl w:val="1"/>
          <w:numId w:val="1"/>
        </w:numPr>
        <w:tabs>
          <w:tab w:pos="2899" w:val="left" w:leader="none"/>
          <w:tab w:pos="2900" w:val="left" w:leader="none"/>
        </w:tabs>
        <w:spacing w:line="199" w:lineRule="auto" w:before="0" w:after="0"/>
        <w:ind w:left="2790" w:right="1707" w:hanging="360"/>
        <w:jc w:val="left"/>
        <w:rPr>
          <w:sz w:val="22"/>
        </w:rPr>
      </w:pPr>
      <w:r>
        <w:rPr>
          <w:sz w:val="22"/>
        </w:rPr>
        <w:t>Informe económico-financeiro, no cal se expoñan as bases utilizadas para avaliación</w:t>
      </w:r>
      <w:r>
        <w:rPr>
          <w:spacing w:val="22"/>
          <w:sz w:val="22"/>
        </w:rPr>
        <w:t> </w:t>
      </w:r>
      <w:r>
        <w:rPr>
          <w:sz w:val="22"/>
        </w:rPr>
        <w:t>dos</w:t>
      </w:r>
      <w:r>
        <w:rPr>
          <w:spacing w:val="20"/>
          <w:sz w:val="22"/>
        </w:rPr>
        <w:t> </w:t>
      </w:r>
      <w:r>
        <w:rPr>
          <w:sz w:val="22"/>
        </w:rPr>
        <w:t>ingresos</w:t>
      </w:r>
      <w:r>
        <w:rPr>
          <w:spacing w:val="18"/>
          <w:sz w:val="22"/>
        </w:rPr>
        <w:t> </w:t>
      </w:r>
      <w:r>
        <w:rPr>
          <w:sz w:val="22"/>
        </w:rPr>
        <w:t>e</w:t>
      </w:r>
      <w:r>
        <w:rPr>
          <w:spacing w:val="18"/>
          <w:sz w:val="22"/>
        </w:rPr>
        <w:t> </w:t>
      </w:r>
      <w:r>
        <w:rPr>
          <w:sz w:val="22"/>
        </w:rPr>
        <w:t>das</w:t>
      </w:r>
      <w:r>
        <w:rPr>
          <w:spacing w:val="20"/>
          <w:sz w:val="22"/>
        </w:rPr>
        <w:t> </w:t>
      </w:r>
      <w:r>
        <w:rPr>
          <w:sz w:val="22"/>
        </w:rPr>
        <w:t>operacións</w:t>
      </w:r>
      <w:r>
        <w:rPr>
          <w:spacing w:val="18"/>
          <w:sz w:val="22"/>
        </w:rPr>
        <w:t> </w:t>
      </w:r>
      <w:r>
        <w:rPr>
          <w:sz w:val="22"/>
        </w:rPr>
        <w:t>de</w:t>
      </w:r>
      <w:r>
        <w:rPr>
          <w:spacing w:val="21"/>
          <w:sz w:val="22"/>
        </w:rPr>
        <w:t> </w:t>
      </w:r>
      <w:r>
        <w:rPr>
          <w:sz w:val="22"/>
        </w:rPr>
        <w:t>crédito</w:t>
      </w:r>
      <w:r>
        <w:rPr>
          <w:spacing w:val="20"/>
          <w:sz w:val="22"/>
        </w:rPr>
        <w:t> </w:t>
      </w:r>
      <w:r>
        <w:rPr>
          <w:sz w:val="22"/>
        </w:rPr>
        <w:t>previstas,</w:t>
      </w:r>
      <w:r>
        <w:rPr>
          <w:spacing w:val="20"/>
          <w:sz w:val="22"/>
        </w:rPr>
        <w:t> </w:t>
      </w:r>
      <w:r>
        <w:rPr>
          <w:sz w:val="22"/>
        </w:rPr>
        <w:t>a</w:t>
      </w:r>
      <w:r>
        <w:rPr>
          <w:spacing w:val="18"/>
          <w:sz w:val="22"/>
        </w:rPr>
        <w:t> </w:t>
      </w:r>
      <w:r>
        <w:rPr>
          <w:sz w:val="22"/>
        </w:rPr>
        <w:t>suficiencia</w:t>
      </w:r>
      <w:r>
        <w:rPr>
          <w:spacing w:val="20"/>
          <w:sz w:val="22"/>
        </w:rPr>
        <w:t> </w:t>
      </w:r>
      <w:r>
        <w:rPr>
          <w:sz w:val="22"/>
        </w:rPr>
        <w:t>de</w:t>
      </w:r>
    </w:p>
    <w:p>
      <w:pPr>
        <w:pStyle w:val="BodyText"/>
        <w:ind w:left="2790" w:right="1701"/>
        <w:jc w:val="both"/>
      </w:pPr>
      <w:r>
        <w:rPr/>
        <w:t>créditos para atender ó cumprimento das obrigas exisibles e ós gastos de funcionamento dos servicios e, en consecuencia , a efectiva nivelación do Orzamento</w:t>
      </w:r>
    </w:p>
    <w:p>
      <w:pPr>
        <w:pStyle w:val="ListParagraph"/>
        <w:numPr>
          <w:ilvl w:val="1"/>
          <w:numId w:val="1"/>
        </w:numPr>
        <w:tabs>
          <w:tab w:pos="2789" w:val="left" w:leader="none"/>
          <w:tab w:pos="2790" w:val="left" w:leader="none"/>
        </w:tabs>
        <w:spacing w:line="314" w:lineRule="exact" w:before="0" w:after="0"/>
        <w:ind w:left="2790" w:right="0" w:hanging="360"/>
        <w:jc w:val="left"/>
        <w:rPr>
          <w:sz w:val="22"/>
        </w:rPr>
      </w:pPr>
      <w:r>
        <w:rPr>
          <w:sz w:val="22"/>
        </w:rPr>
        <w:t>Estado</w:t>
      </w:r>
      <w:r>
        <w:rPr>
          <w:spacing w:val="16"/>
          <w:sz w:val="22"/>
        </w:rPr>
        <w:t> </w:t>
      </w:r>
      <w:r>
        <w:rPr>
          <w:sz w:val="22"/>
        </w:rPr>
        <w:t>de</w:t>
      </w:r>
      <w:r>
        <w:rPr>
          <w:spacing w:val="16"/>
          <w:sz w:val="22"/>
        </w:rPr>
        <w:t> </w:t>
      </w:r>
      <w:r>
        <w:rPr>
          <w:sz w:val="22"/>
        </w:rPr>
        <w:t>ingresos,</w:t>
      </w:r>
      <w:r>
        <w:rPr>
          <w:spacing w:val="17"/>
          <w:sz w:val="22"/>
        </w:rPr>
        <w:t> </w:t>
      </w:r>
      <w:r>
        <w:rPr>
          <w:sz w:val="22"/>
        </w:rPr>
        <w:t>no</w:t>
      </w:r>
      <w:r>
        <w:rPr>
          <w:spacing w:val="15"/>
          <w:sz w:val="22"/>
        </w:rPr>
        <w:t> </w:t>
      </w:r>
      <w:r>
        <w:rPr>
          <w:sz w:val="22"/>
        </w:rPr>
        <w:t>que</w:t>
      </w:r>
      <w:r>
        <w:rPr>
          <w:spacing w:val="17"/>
          <w:sz w:val="22"/>
        </w:rPr>
        <w:t> </w:t>
      </w:r>
      <w:r>
        <w:rPr>
          <w:sz w:val="22"/>
        </w:rPr>
        <w:t>figuran</w:t>
      </w:r>
      <w:r>
        <w:rPr>
          <w:spacing w:val="18"/>
          <w:sz w:val="22"/>
        </w:rPr>
        <w:t> </w:t>
      </w:r>
      <w:r>
        <w:rPr>
          <w:sz w:val="22"/>
        </w:rPr>
        <w:t>as</w:t>
      </w:r>
      <w:r>
        <w:rPr>
          <w:spacing w:val="16"/>
          <w:sz w:val="22"/>
        </w:rPr>
        <w:t> </w:t>
      </w:r>
      <w:r>
        <w:rPr>
          <w:sz w:val="22"/>
        </w:rPr>
        <w:t>estimacións</w:t>
      </w:r>
      <w:r>
        <w:rPr>
          <w:spacing w:val="16"/>
          <w:sz w:val="22"/>
        </w:rPr>
        <w:t> </w:t>
      </w:r>
      <w:r>
        <w:rPr>
          <w:sz w:val="22"/>
        </w:rPr>
        <w:t>dos</w:t>
      </w:r>
      <w:r>
        <w:rPr>
          <w:spacing w:val="17"/>
          <w:sz w:val="22"/>
        </w:rPr>
        <w:t> </w:t>
      </w:r>
      <w:r>
        <w:rPr>
          <w:sz w:val="22"/>
        </w:rPr>
        <w:t>distintos</w:t>
      </w:r>
      <w:r>
        <w:rPr>
          <w:spacing w:val="17"/>
          <w:sz w:val="22"/>
        </w:rPr>
        <w:t> </w:t>
      </w:r>
      <w:r>
        <w:rPr>
          <w:sz w:val="22"/>
        </w:rPr>
        <w:t>recursos</w:t>
      </w:r>
    </w:p>
    <w:p>
      <w:pPr>
        <w:pStyle w:val="BodyText"/>
        <w:spacing w:line="189" w:lineRule="exact"/>
        <w:ind w:left="2790"/>
      </w:pPr>
      <w:r>
        <w:rPr/>
        <w:drawing>
          <wp:anchor distT="0" distB="0" distL="0" distR="0" allowOverlap="1" layoutInCell="1" locked="0" behindDoc="0" simplePos="0" relativeHeight="1144">
            <wp:simplePos x="0" y="0"/>
            <wp:positionH relativeFrom="page">
              <wp:posOffset>6871850</wp:posOffset>
            </wp:positionH>
            <wp:positionV relativeFrom="paragraph">
              <wp:posOffset>31798</wp:posOffset>
            </wp:positionV>
            <wp:extent cx="328070" cy="39116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28070" cy="3911600"/>
                    </a:xfrm>
                    <a:prstGeom prst="rect">
                      <a:avLst/>
                    </a:prstGeom>
                  </pic:spPr>
                </pic:pic>
              </a:graphicData>
            </a:graphic>
          </wp:anchor>
        </w:drawing>
      </w:r>
      <w:r>
        <w:rPr/>
        <w:t>económicos a liquidar no exercicio.</w:t>
      </w:r>
    </w:p>
    <w:p>
      <w:pPr>
        <w:pStyle w:val="ListParagraph"/>
        <w:numPr>
          <w:ilvl w:val="1"/>
          <w:numId w:val="1"/>
        </w:numPr>
        <w:tabs>
          <w:tab w:pos="2789" w:val="left" w:leader="none"/>
          <w:tab w:pos="2790" w:val="left" w:leader="none"/>
        </w:tabs>
        <w:spacing w:line="199" w:lineRule="auto" w:before="8" w:after="0"/>
        <w:ind w:left="2790" w:right="1702" w:hanging="360"/>
        <w:jc w:val="left"/>
        <w:rPr>
          <w:sz w:val="22"/>
        </w:rPr>
      </w:pPr>
      <w:r>
        <w:rPr>
          <w:sz w:val="22"/>
        </w:rPr>
        <w:t>Estado de gastos, coa debida especificación dos créditos necesarios para atender os cumprimentos das obrigas.</w:t>
      </w:r>
    </w:p>
    <w:p>
      <w:pPr>
        <w:pStyle w:val="ListParagraph"/>
        <w:numPr>
          <w:ilvl w:val="1"/>
          <w:numId w:val="1"/>
        </w:numPr>
        <w:tabs>
          <w:tab w:pos="2789" w:val="left" w:leader="none"/>
          <w:tab w:pos="2790" w:val="left" w:leader="none"/>
        </w:tabs>
        <w:spacing w:line="287" w:lineRule="exact" w:before="0" w:after="0"/>
        <w:ind w:left="2790" w:right="0" w:hanging="360"/>
        <w:jc w:val="left"/>
        <w:rPr>
          <w:sz w:val="22"/>
        </w:rPr>
      </w:pPr>
      <w:r>
        <w:rPr/>
        <w:pict>
          <v:shape style="position:absolute;margin-left:567.568359pt;margin-top:1.951223pt;width:14.75pt;height:272.75pt;mso-position-horizontal-relative:page;mso-position-vertical-relative:paragraph;z-index:1216"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1 de 11</w:t>
                  </w:r>
                </w:p>
              </w:txbxContent>
            </v:textbox>
            <w10:wrap type="none"/>
          </v:shape>
        </w:pict>
      </w:r>
      <w:r>
        <w:rPr>
          <w:sz w:val="22"/>
        </w:rPr>
        <w:t>Anexo de Persoal da</w:t>
      </w:r>
      <w:r>
        <w:rPr>
          <w:spacing w:val="-10"/>
          <w:sz w:val="22"/>
        </w:rPr>
        <w:t> </w:t>
      </w:r>
      <w:r>
        <w:rPr>
          <w:sz w:val="22"/>
        </w:rPr>
        <w:t>entidade.</w:t>
      </w:r>
    </w:p>
    <w:p>
      <w:pPr>
        <w:pStyle w:val="ListParagraph"/>
        <w:numPr>
          <w:ilvl w:val="1"/>
          <w:numId w:val="1"/>
        </w:numPr>
        <w:tabs>
          <w:tab w:pos="2789" w:val="left" w:leader="none"/>
          <w:tab w:pos="2790" w:val="left" w:leader="none"/>
        </w:tabs>
        <w:spacing w:line="287" w:lineRule="exact" w:before="0" w:after="0"/>
        <w:ind w:left="2790" w:right="0" w:hanging="360"/>
        <w:jc w:val="left"/>
        <w:rPr>
          <w:sz w:val="22"/>
        </w:rPr>
      </w:pPr>
      <w:r>
        <w:rPr>
          <w:sz w:val="22"/>
        </w:rPr>
        <w:t>Anexo de</w:t>
      </w:r>
      <w:r>
        <w:rPr>
          <w:spacing w:val="-2"/>
          <w:sz w:val="22"/>
        </w:rPr>
        <w:t> </w:t>
      </w:r>
      <w:r>
        <w:rPr>
          <w:sz w:val="22"/>
        </w:rPr>
        <w:t>Investimentos.</w:t>
      </w:r>
    </w:p>
    <w:p>
      <w:pPr>
        <w:pStyle w:val="ListParagraph"/>
        <w:numPr>
          <w:ilvl w:val="1"/>
          <w:numId w:val="1"/>
        </w:numPr>
        <w:tabs>
          <w:tab w:pos="2789" w:val="left" w:leader="none"/>
          <w:tab w:pos="2790" w:val="left" w:leader="none"/>
        </w:tabs>
        <w:spacing w:line="287" w:lineRule="exact" w:before="0" w:after="0"/>
        <w:ind w:left="2790" w:right="0" w:hanging="360"/>
        <w:jc w:val="left"/>
        <w:rPr>
          <w:sz w:val="22"/>
        </w:rPr>
      </w:pPr>
      <w:r>
        <w:rPr>
          <w:sz w:val="22"/>
        </w:rPr>
        <w:t>Estado de situación e movementos da débeda</w:t>
      </w:r>
      <w:r>
        <w:rPr>
          <w:spacing w:val="-10"/>
          <w:sz w:val="22"/>
        </w:rPr>
        <w:t> </w:t>
      </w:r>
      <w:r>
        <w:rPr>
          <w:sz w:val="22"/>
        </w:rPr>
        <w:t>municipal.</w:t>
      </w:r>
    </w:p>
    <w:p>
      <w:pPr>
        <w:pStyle w:val="ListParagraph"/>
        <w:numPr>
          <w:ilvl w:val="1"/>
          <w:numId w:val="1"/>
        </w:numPr>
        <w:tabs>
          <w:tab w:pos="2789" w:val="left" w:leader="none"/>
          <w:tab w:pos="2790" w:val="left" w:leader="none"/>
        </w:tabs>
        <w:spacing w:line="287" w:lineRule="exact" w:before="0" w:after="0"/>
        <w:ind w:left="2790" w:right="0" w:hanging="360"/>
        <w:jc w:val="left"/>
        <w:rPr>
          <w:i/>
          <w:sz w:val="22"/>
        </w:rPr>
      </w:pPr>
      <w:r>
        <w:rPr>
          <w:sz w:val="22"/>
        </w:rPr>
        <w:t>Bases de Execución do Orzamento para o exercicio de</w:t>
      </w:r>
      <w:r>
        <w:rPr>
          <w:spacing w:val="-5"/>
          <w:sz w:val="22"/>
        </w:rPr>
        <w:t> </w:t>
      </w:r>
      <w:r>
        <w:rPr>
          <w:sz w:val="22"/>
        </w:rPr>
        <w:t>2016</w:t>
      </w:r>
      <w:r>
        <w:rPr>
          <w:i/>
          <w:sz w:val="22"/>
        </w:rPr>
        <w:t>.</w:t>
      </w:r>
    </w:p>
    <w:p>
      <w:pPr>
        <w:pStyle w:val="ListParagraph"/>
        <w:numPr>
          <w:ilvl w:val="1"/>
          <w:numId w:val="1"/>
        </w:numPr>
        <w:tabs>
          <w:tab w:pos="2789" w:val="left" w:leader="none"/>
          <w:tab w:pos="2790" w:val="left" w:leader="none"/>
        </w:tabs>
        <w:spacing w:line="323" w:lineRule="exact" w:before="0" w:after="0"/>
        <w:ind w:left="2790" w:right="0" w:hanging="360"/>
        <w:jc w:val="left"/>
        <w:rPr>
          <w:sz w:val="22"/>
        </w:rPr>
      </w:pPr>
      <w:r>
        <w:rPr>
          <w:sz w:val="22"/>
        </w:rPr>
        <w:t>Liquidación do Orzamento do exercicio 2015 e </w:t>
      </w:r>
      <w:r>
        <w:rPr>
          <w:spacing w:val="-3"/>
          <w:sz w:val="22"/>
        </w:rPr>
        <w:t>Avance</w:t>
      </w:r>
      <w:r>
        <w:rPr>
          <w:spacing w:val="12"/>
          <w:sz w:val="22"/>
        </w:rPr>
        <w:t> </w:t>
      </w:r>
      <w:r>
        <w:rPr>
          <w:sz w:val="22"/>
        </w:rPr>
        <w:t>da liquidación do</w:t>
      </w:r>
    </w:p>
    <w:p>
      <w:pPr>
        <w:pStyle w:val="BodyText"/>
        <w:spacing w:line="226" w:lineRule="exact"/>
        <w:ind w:left="2790"/>
        <w:jc w:val="both"/>
      </w:pPr>
      <w:r>
        <w:rPr/>
        <w:t>exercicio 2016 .</w:t>
      </w:r>
    </w:p>
    <w:p>
      <w:pPr>
        <w:pStyle w:val="BodyText"/>
      </w:pPr>
    </w:p>
    <w:p>
      <w:pPr>
        <w:pStyle w:val="BodyText"/>
        <w:ind w:left="1363" w:right="1705" w:firstLine="708"/>
        <w:jc w:val="both"/>
        <w:rPr>
          <w:b/>
        </w:rPr>
      </w:pPr>
      <w:r>
        <w:rPr/>
        <w:t>Polo tanto, pódese dicir que o expediente está completo e contén toda a documentación preceptiva, de acordo co previsto nos artigos 164 e 165 do Real Decreto Lexislativo 2/ 2004 polo que se aproba a Lei reguladora de Facendas Locais e no artigo 18 do Real Decreto 500/90</w:t>
      </w:r>
      <w:r>
        <w:rPr>
          <w:b/>
        </w:rPr>
        <w:t>.</w:t>
      </w:r>
    </w:p>
    <w:p>
      <w:pPr>
        <w:pStyle w:val="BodyText"/>
        <w:rPr>
          <w:b/>
          <w:sz w:val="24"/>
        </w:rPr>
      </w:pPr>
    </w:p>
    <w:p>
      <w:pPr>
        <w:pStyle w:val="BodyText"/>
        <w:rPr>
          <w:b/>
          <w:sz w:val="24"/>
        </w:rPr>
      </w:pPr>
    </w:p>
    <w:p>
      <w:pPr>
        <w:pStyle w:val="BodyText"/>
        <w:rPr>
          <w:b/>
          <w:sz w:val="24"/>
        </w:rPr>
      </w:pPr>
    </w:p>
    <w:p>
      <w:pPr>
        <w:pStyle w:val="Heading4"/>
        <w:numPr>
          <w:ilvl w:val="0"/>
          <w:numId w:val="1"/>
        </w:numPr>
        <w:tabs>
          <w:tab w:pos="1662" w:val="left" w:leader="none"/>
        </w:tabs>
        <w:spacing w:line="217" w:lineRule="exact" w:before="185" w:after="0"/>
        <w:ind w:left="1661" w:right="0" w:hanging="297"/>
        <w:jc w:val="left"/>
      </w:pPr>
      <w:r>
        <w:rPr/>
        <w:t>LEXISLACIÓN</w:t>
      </w:r>
      <w:r>
        <w:rPr>
          <w:spacing w:val="-14"/>
        </w:rPr>
        <w:t> </w:t>
      </w:r>
      <w:r>
        <w:rPr/>
        <w:t>APLICABLE:</w:t>
      </w:r>
    </w:p>
    <w:p>
      <w:pPr>
        <w:pStyle w:val="ListParagraph"/>
        <w:numPr>
          <w:ilvl w:val="1"/>
          <w:numId w:val="1"/>
        </w:numPr>
        <w:tabs>
          <w:tab w:pos="2083" w:val="left" w:leader="none"/>
          <w:tab w:pos="2084" w:val="left" w:leader="none"/>
        </w:tabs>
        <w:spacing w:line="199" w:lineRule="auto" w:before="14" w:after="0"/>
        <w:ind w:left="2084" w:right="1704" w:hanging="360"/>
        <w:jc w:val="left"/>
        <w:rPr>
          <w:sz w:val="22"/>
        </w:rPr>
      </w:pPr>
      <w:r>
        <w:rPr>
          <w:sz w:val="22"/>
        </w:rPr>
        <w:t>Real Decreto Lexislativo 2/ 2004 polo que se aproba a Lei reguladora de Facendas Locais</w:t>
      </w:r>
    </w:p>
    <w:p>
      <w:pPr>
        <w:pStyle w:val="BodyText"/>
        <w:rPr>
          <w:sz w:val="13"/>
        </w:rPr>
      </w:pPr>
      <w:r>
        <w:rPr/>
        <w:pict>
          <v:line style="position:absolute;mso-position-horizontal-relative:page;mso-position-vertical-relative:paragraph;z-index:1120;mso-wrap-distance-left:0;mso-wrap-distance-right:0" from="85.099998pt,9.711433pt" to="510.199998pt,9.711433pt" stroked="true" strokeweight=".5pt" strokecolor="#000000">
            <v:stroke dashstyle="solid"/>
            <w10:wrap type="topAndBottom"/>
          </v:line>
        </w:pict>
      </w:r>
    </w:p>
    <w:p>
      <w:pPr>
        <w:pStyle w:val="Heading4"/>
      </w:pPr>
      <w:r>
        <w:rPr/>
        <w:t>Concello de Ortigueira</w:t>
      </w:r>
    </w:p>
    <w:p>
      <w:pPr>
        <w:spacing w:before="121"/>
        <w:ind w:left="2840" w:right="0" w:firstLine="0"/>
        <w:jc w:val="both"/>
        <w:rPr>
          <w:sz w:val="16"/>
        </w:rPr>
      </w:pPr>
      <w:r>
        <w:rPr>
          <w:sz w:val="16"/>
        </w:rPr>
        <w:t>Plaza de Isabel II, s/n, Ortigueira. 15330 A Coruña. Tfno. 981400000. Fax: 981402536</w:t>
      </w:r>
    </w:p>
    <w:p>
      <w:pPr>
        <w:spacing w:after="0"/>
        <w:jc w:val="both"/>
        <w:rPr>
          <w:sz w:val="16"/>
        </w:rPr>
        <w:sectPr>
          <w:headerReference w:type="default" r:id="rId5"/>
          <w:type w:val="continuous"/>
          <w:pgSz w:w="11900" w:h="16840"/>
          <w:pgMar w:header="710" w:top="2120" w:bottom="0" w:left="340" w:right="0"/>
        </w:sectPr>
      </w:pPr>
    </w:p>
    <w:p>
      <w:pPr>
        <w:pStyle w:val="BodyText"/>
        <w:rPr>
          <w:sz w:val="9"/>
        </w:rPr>
      </w:pPr>
    </w:p>
    <w:p>
      <w:pPr>
        <w:pStyle w:val="ListParagraph"/>
        <w:numPr>
          <w:ilvl w:val="1"/>
          <w:numId w:val="1"/>
        </w:numPr>
        <w:tabs>
          <w:tab w:pos="2083" w:val="left" w:leader="none"/>
          <w:tab w:pos="2084" w:val="left" w:leader="none"/>
        </w:tabs>
        <w:spacing w:line="199" w:lineRule="auto" w:before="78" w:after="0"/>
        <w:ind w:left="2084" w:right="1700" w:hanging="360"/>
        <w:jc w:val="left"/>
        <w:rPr>
          <w:sz w:val="22"/>
        </w:rPr>
      </w:pPr>
      <w:r>
        <w:rPr>
          <w:sz w:val="22"/>
        </w:rPr>
        <w:t>Real decreto 500/90, do 20 de abril, polo que se desenvolve a Lei reguladora</w:t>
      </w:r>
      <w:r>
        <w:rPr>
          <w:spacing w:val="30"/>
          <w:sz w:val="22"/>
        </w:rPr>
        <w:t> </w:t>
      </w:r>
      <w:r>
        <w:rPr>
          <w:sz w:val="22"/>
        </w:rPr>
        <w:t>de Facendas locais en materia de</w:t>
      </w:r>
      <w:r>
        <w:rPr>
          <w:spacing w:val="1"/>
          <w:sz w:val="22"/>
        </w:rPr>
        <w:t> </w:t>
      </w:r>
      <w:r>
        <w:rPr>
          <w:sz w:val="22"/>
        </w:rPr>
        <w:t>presupostos.</w:t>
      </w:r>
    </w:p>
    <w:p>
      <w:pPr>
        <w:pStyle w:val="ListParagraph"/>
        <w:numPr>
          <w:ilvl w:val="1"/>
          <w:numId w:val="1"/>
        </w:numPr>
        <w:tabs>
          <w:tab w:pos="2165" w:val="left" w:leader="none"/>
          <w:tab w:pos="2166" w:val="left" w:leader="none"/>
        </w:tabs>
        <w:spacing w:line="199" w:lineRule="auto" w:before="0" w:after="0"/>
        <w:ind w:left="2084" w:right="1700" w:hanging="360"/>
        <w:jc w:val="left"/>
        <w:rPr>
          <w:sz w:val="22"/>
        </w:rPr>
      </w:pPr>
      <w:r>
        <w:rPr>
          <w:sz w:val="22"/>
        </w:rPr>
        <w:t>Lei Orgánica 2/2012, de 27 de abril, de Estabilidade Orzamentaria e Sostenibilidade Financeira.</w:t>
      </w:r>
    </w:p>
    <w:p>
      <w:pPr>
        <w:pStyle w:val="ListParagraph"/>
        <w:numPr>
          <w:ilvl w:val="1"/>
          <w:numId w:val="1"/>
        </w:numPr>
        <w:tabs>
          <w:tab w:pos="2083" w:val="left" w:leader="none"/>
          <w:tab w:pos="2084" w:val="left" w:leader="none"/>
        </w:tabs>
        <w:spacing w:line="287" w:lineRule="exact" w:before="0" w:after="0"/>
        <w:ind w:left="2084" w:right="0" w:hanging="360"/>
        <w:jc w:val="left"/>
        <w:rPr>
          <w:sz w:val="22"/>
        </w:rPr>
      </w:pPr>
      <w:r>
        <w:rPr>
          <w:sz w:val="22"/>
        </w:rPr>
        <w:t>Lei de Presupostos xerais do Estado para o exercicio</w:t>
      </w:r>
      <w:r>
        <w:rPr>
          <w:spacing w:val="-8"/>
          <w:sz w:val="22"/>
        </w:rPr>
        <w:t> </w:t>
      </w:r>
      <w:r>
        <w:rPr>
          <w:sz w:val="22"/>
        </w:rPr>
        <w:t>2014.</w:t>
      </w:r>
    </w:p>
    <w:p>
      <w:pPr>
        <w:pStyle w:val="ListParagraph"/>
        <w:numPr>
          <w:ilvl w:val="1"/>
          <w:numId w:val="1"/>
        </w:numPr>
        <w:tabs>
          <w:tab w:pos="2083" w:val="left" w:leader="none"/>
          <w:tab w:pos="2084" w:val="left" w:leader="none"/>
        </w:tabs>
        <w:spacing w:line="199" w:lineRule="auto" w:before="0" w:after="0"/>
        <w:ind w:left="2084" w:right="1701" w:hanging="360"/>
        <w:jc w:val="left"/>
        <w:rPr>
          <w:sz w:val="22"/>
        </w:rPr>
      </w:pPr>
      <w:r>
        <w:rPr>
          <w:sz w:val="22"/>
        </w:rPr>
        <w:t>Previsións dos gastos de persoal ao servicio do sector público contidas na Lei de Presupostos xerais do Estado para o ano</w:t>
      </w:r>
      <w:r>
        <w:rPr>
          <w:spacing w:val="-5"/>
          <w:sz w:val="22"/>
        </w:rPr>
        <w:t> </w:t>
      </w:r>
      <w:r>
        <w:rPr>
          <w:sz w:val="22"/>
        </w:rPr>
        <w:t>2014.</w:t>
      </w:r>
    </w:p>
    <w:p>
      <w:pPr>
        <w:pStyle w:val="ListParagraph"/>
        <w:numPr>
          <w:ilvl w:val="1"/>
          <w:numId w:val="1"/>
        </w:numPr>
        <w:tabs>
          <w:tab w:pos="2083" w:val="left" w:leader="none"/>
          <w:tab w:pos="2084" w:val="left" w:leader="none"/>
        </w:tabs>
        <w:spacing w:line="199" w:lineRule="auto" w:before="0" w:after="0"/>
        <w:ind w:left="2084" w:right="1701" w:hanging="360"/>
        <w:jc w:val="left"/>
        <w:rPr>
          <w:sz w:val="22"/>
        </w:rPr>
      </w:pPr>
      <w:r>
        <w:rPr>
          <w:sz w:val="22"/>
        </w:rPr>
        <w:t>Artigos correspondentes da Lei 7/85, de 2 de abril, de Bases de Réxime Local e do Real decreto Lexislativo 781/86, do 18 de</w:t>
      </w:r>
      <w:r>
        <w:rPr>
          <w:spacing w:val="-6"/>
          <w:sz w:val="22"/>
        </w:rPr>
        <w:t> </w:t>
      </w:r>
      <w:r>
        <w:rPr>
          <w:sz w:val="22"/>
        </w:rPr>
        <w:t>abril.</w:t>
      </w:r>
    </w:p>
    <w:p>
      <w:pPr>
        <w:pStyle w:val="ListParagraph"/>
        <w:numPr>
          <w:ilvl w:val="1"/>
          <w:numId w:val="1"/>
        </w:numPr>
        <w:tabs>
          <w:tab w:pos="2083" w:val="left" w:leader="none"/>
          <w:tab w:pos="2084" w:val="left" w:leader="none"/>
        </w:tabs>
        <w:spacing w:line="286" w:lineRule="exact" w:before="0" w:after="0"/>
        <w:ind w:left="2084" w:right="0" w:hanging="360"/>
        <w:jc w:val="left"/>
        <w:rPr>
          <w:sz w:val="22"/>
        </w:rPr>
      </w:pPr>
      <w:r>
        <w:rPr/>
        <w:pict>
          <v:shape style="position:absolute;margin-left:535.991211pt;margin-top:1.695792pt;width:32.9pt;height:247.2pt;mso-position-horizontal-relative:page;mso-position-vertical-relative:paragraph;z-index:1288"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sz w:val="22"/>
        </w:rPr>
        <w:t>Lei 7/ 2007 do Estatuto básico do empregado</w:t>
      </w:r>
      <w:r>
        <w:rPr>
          <w:spacing w:val="-6"/>
          <w:sz w:val="22"/>
        </w:rPr>
        <w:t> </w:t>
      </w:r>
      <w:r>
        <w:rPr>
          <w:sz w:val="22"/>
        </w:rPr>
        <w:t>público.</w:t>
      </w:r>
    </w:p>
    <w:p>
      <w:pPr>
        <w:pStyle w:val="ListParagraph"/>
        <w:numPr>
          <w:ilvl w:val="1"/>
          <w:numId w:val="1"/>
        </w:numPr>
        <w:tabs>
          <w:tab w:pos="2083" w:val="left" w:leader="none"/>
          <w:tab w:pos="2084" w:val="left" w:leader="none"/>
        </w:tabs>
        <w:spacing w:line="287" w:lineRule="exact" w:before="0" w:after="0"/>
        <w:ind w:left="2084" w:right="0" w:hanging="360"/>
        <w:jc w:val="left"/>
        <w:rPr>
          <w:sz w:val="22"/>
        </w:rPr>
      </w:pPr>
      <w:r>
        <w:rPr>
          <w:sz w:val="22"/>
        </w:rPr>
        <w:t>Lei 5/97, de 22 de xullo, de Administración local de</w:t>
      </w:r>
      <w:r>
        <w:rPr>
          <w:spacing w:val="-20"/>
          <w:sz w:val="22"/>
        </w:rPr>
        <w:t> </w:t>
      </w:r>
      <w:r>
        <w:rPr>
          <w:sz w:val="22"/>
        </w:rPr>
        <w:t>Galicia.</w:t>
      </w:r>
    </w:p>
    <w:p>
      <w:pPr>
        <w:pStyle w:val="ListParagraph"/>
        <w:numPr>
          <w:ilvl w:val="1"/>
          <w:numId w:val="1"/>
        </w:numPr>
        <w:tabs>
          <w:tab w:pos="2083" w:val="left" w:leader="none"/>
          <w:tab w:pos="2084" w:val="left" w:leader="none"/>
        </w:tabs>
        <w:spacing w:line="199" w:lineRule="auto" w:before="0" w:after="0"/>
        <w:ind w:left="2084" w:right="1701" w:hanging="360"/>
        <w:jc w:val="left"/>
        <w:rPr>
          <w:sz w:val="22"/>
        </w:rPr>
      </w:pPr>
      <w:r>
        <w:rPr>
          <w:sz w:val="22"/>
        </w:rPr>
        <w:t>Orde EHA/3565/2008, 3 de decembro pola que se aproba a estrutura dos orzamentos das Entidades</w:t>
      </w:r>
      <w:r>
        <w:rPr>
          <w:spacing w:val="-1"/>
          <w:sz w:val="22"/>
        </w:rPr>
        <w:t> </w:t>
      </w:r>
      <w:r>
        <w:rPr>
          <w:sz w:val="22"/>
        </w:rPr>
        <w:t>Locais.</w:t>
      </w:r>
    </w:p>
    <w:p>
      <w:pPr>
        <w:pStyle w:val="ListParagraph"/>
        <w:numPr>
          <w:ilvl w:val="1"/>
          <w:numId w:val="1"/>
        </w:numPr>
        <w:tabs>
          <w:tab w:pos="2083" w:val="left" w:leader="none"/>
          <w:tab w:pos="2084" w:val="left" w:leader="none"/>
        </w:tabs>
        <w:spacing w:line="199" w:lineRule="auto" w:before="0" w:after="0"/>
        <w:ind w:left="2084" w:right="1698" w:hanging="360"/>
        <w:jc w:val="left"/>
        <w:rPr>
          <w:sz w:val="22"/>
        </w:rPr>
      </w:pPr>
      <w:r>
        <w:rPr>
          <w:sz w:val="22"/>
        </w:rPr>
        <w:t>Orde HAP/419/2014, de 14 de marzo, pola que se modifica a Orde EHA/3565/2008, 3 de decembro pola que se aproba a estrutura dos orzamentos das Entidades</w:t>
      </w:r>
      <w:r>
        <w:rPr>
          <w:spacing w:val="-22"/>
          <w:sz w:val="22"/>
        </w:rPr>
        <w:t> </w:t>
      </w:r>
      <w:r>
        <w:rPr>
          <w:sz w:val="22"/>
        </w:rPr>
        <w:t>Locais.</w:t>
      </w:r>
    </w:p>
    <w:p>
      <w:pPr>
        <w:pStyle w:val="Heading2"/>
        <w:numPr>
          <w:ilvl w:val="0"/>
          <w:numId w:val="1"/>
        </w:numPr>
        <w:tabs>
          <w:tab w:pos="1854" w:val="left" w:leader="none"/>
        </w:tabs>
        <w:spacing w:line="240" w:lineRule="auto" w:before="195" w:after="0"/>
        <w:ind w:left="1853" w:right="0" w:hanging="489"/>
        <w:jc w:val="left"/>
      </w:pPr>
      <w:r>
        <w:rPr>
          <w:u w:val="single"/>
        </w:rPr>
        <w:t>CONSIDERACIÓNS.</w:t>
      </w:r>
    </w:p>
    <w:p>
      <w:pPr>
        <w:tabs>
          <w:tab w:pos="3154" w:val="left" w:leader="none"/>
          <w:tab w:pos="4507" w:val="left" w:leader="none"/>
          <w:tab w:pos="6112" w:val="left" w:leader="none"/>
          <w:tab w:pos="6891" w:val="left" w:leader="none"/>
          <w:tab w:pos="9453" w:val="left" w:leader="none"/>
        </w:tabs>
        <w:spacing w:before="254"/>
        <w:ind w:left="1363" w:right="1699" w:firstLine="0"/>
        <w:jc w:val="left"/>
        <w:rPr>
          <w:b/>
          <w:sz w:val="28"/>
        </w:rPr>
      </w:pPr>
      <w:r>
        <w:rPr>
          <w:b/>
          <w:sz w:val="28"/>
        </w:rPr>
        <w:t>PRIMEIRA</w:t>
        <w:tab/>
      </w:r>
      <w:r>
        <w:rPr>
          <w:b/>
          <w:spacing w:val="-6"/>
          <w:sz w:val="28"/>
        </w:rPr>
        <w:t>PARTE:</w:t>
        <w:tab/>
      </w:r>
      <w:r>
        <w:rPr>
          <w:b/>
          <w:sz w:val="28"/>
        </w:rPr>
        <w:t>ANÁLISE</w:t>
        <w:tab/>
        <w:t>DO</w:t>
        <w:tab/>
        <w:t>CUMPRIMENTO</w:t>
        <w:tab/>
        <w:t>DA LEGALIDADE</w:t>
      </w:r>
      <w:r>
        <w:rPr>
          <w:b/>
          <w:spacing w:val="-6"/>
          <w:sz w:val="28"/>
        </w:rPr>
        <w:t> </w:t>
      </w:r>
      <w:r>
        <w:rPr>
          <w:b/>
          <w:sz w:val="28"/>
        </w:rPr>
        <w:t>VIXENTE.</w:t>
      </w:r>
    </w:p>
    <w:p>
      <w:pPr>
        <w:pStyle w:val="ListParagraph"/>
        <w:numPr>
          <w:ilvl w:val="0"/>
          <w:numId w:val="2"/>
        </w:numPr>
        <w:tabs>
          <w:tab w:pos="1667" w:val="left" w:leader="none"/>
        </w:tabs>
        <w:spacing w:line="240" w:lineRule="auto" w:before="252" w:after="0"/>
        <w:ind w:left="1364" w:right="0" w:firstLine="0"/>
        <w:jc w:val="left"/>
        <w:rPr>
          <w:b/>
          <w:sz w:val="28"/>
        </w:rPr>
      </w:pPr>
      <w:r>
        <w:rPr>
          <w:b/>
          <w:sz w:val="28"/>
          <w:u w:val="single"/>
        </w:rPr>
        <w:t>Cuestión previa de formalidade.</w:t>
      </w:r>
    </w:p>
    <w:p>
      <w:pPr>
        <w:pStyle w:val="BodyText"/>
        <w:spacing w:before="1"/>
        <w:rPr>
          <w:b/>
          <w:sz w:val="20"/>
        </w:rPr>
      </w:pPr>
    </w:p>
    <w:p>
      <w:pPr>
        <w:pStyle w:val="BodyText"/>
        <w:spacing w:before="91"/>
        <w:ind w:left="1363" w:right="1699" w:firstLine="708"/>
        <w:jc w:val="both"/>
      </w:pPr>
      <w:r>
        <w:rPr/>
        <w:drawing>
          <wp:anchor distT="0" distB="0" distL="0" distR="0" allowOverlap="1" layoutInCell="1" locked="0" behindDoc="0" simplePos="0" relativeHeight="1264">
            <wp:simplePos x="0" y="0"/>
            <wp:positionH relativeFrom="page">
              <wp:posOffset>6871850</wp:posOffset>
            </wp:positionH>
            <wp:positionV relativeFrom="paragraph">
              <wp:posOffset>785108</wp:posOffset>
            </wp:positionV>
            <wp:extent cx="328070" cy="3911600"/>
            <wp:effectExtent l="0" t="0" r="0" b="0"/>
            <wp:wrapNone/>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328070" cy="3911600"/>
                    </a:xfrm>
                    <a:prstGeom prst="rect">
                      <a:avLst/>
                    </a:prstGeom>
                  </pic:spPr>
                </pic:pic>
              </a:graphicData>
            </a:graphic>
          </wp:anchor>
        </w:drawing>
      </w:r>
      <w:r>
        <w:rPr/>
        <w:pict>
          <v:shape style="position:absolute;margin-left:567.568359pt;margin-top:99.117744pt;width:14.75pt;height:272.75pt;mso-position-horizontal-relative:page;mso-position-vertical-relative:paragraph;z-index:1312"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2 de 11</w:t>
                  </w:r>
                </w:p>
              </w:txbxContent>
            </v:textbox>
            <w10:wrap type="none"/>
          </v:shape>
        </w:pict>
      </w:r>
      <w:r>
        <w:rPr/>
        <w:t>De acordo co disposto no artigo 168.4 da Lei reguladora de Facendas locais, o Alcalde-Presidente debe remitir o Orzamento ao Pleno da Corporación, informado polo interventor e cos anexos e documentación complementaria, antes do día 15 de outubro de cada ano, para a súa aprobación, enmenda ou devolución. Neste caso, incumpriuse o prazo establecido, aínda que tal incumprimento non afecta para nada a validez e eficacia do previsible acordo de aprobación. O prazo previsto no referido artigo non é de carácter preclusivo, senón que só trata de que se inicie o ciclo orzamentario (estudio, aprobación, entrada en vigor, execución e liquidación) en tempo oportuno, de xeito que o debate orzamentario, incluso a presentación de posibles reclamacións, se realice antes do día no que debe entrar en vigor. O retraso con respecto a data legalmente establecida, obrigará ao Concello a prorrogar automaticamente o Orzamento do exercicio de 2016 para o exercicio de 2017, polo importe dos seus créditos iniciais e sen que caiba a prórroga dos créditos ou programas especialmente previstos para o exercicio de 2016.</w:t>
      </w:r>
    </w:p>
    <w:p>
      <w:pPr>
        <w:pStyle w:val="BodyText"/>
        <w:rPr>
          <w:sz w:val="24"/>
        </w:rPr>
      </w:pPr>
    </w:p>
    <w:p>
      <w:pPr>
        <w:pStyle w:val="Heading4"/>
        <w:numPr>
          <w:ilvl w:val="0"/>
          <w:numId w:val="2"/>
        </w:numPr>
        <w:tabs>
          <w:tab w:pos="1656" w:val="left" w:leader="none"/>
        </w:tabs>
        <w:spacing w:line="570" w:lineRule="atLeast" w:before="166" w:after="0"/>
        <w:ind w:left="1364" w:right="4165" w:firstLine="54"/>
        <w:jc w:val="left"/>
      </w:pPr>
      <w:r>
        <w:rPr/>
        <w:t>PRINCIPIOS                                        ORZAMENTARIOS</w:t>
      </w:r>
      <w:r>
        <w:rPr>
          <w:u w:val="single"/>
        </w:rPr>
        <w:t> A) Cumprimento do Principio de equilibrio orzamentario</w:t>
      </w:r>
      <w:r>
        <w:rPr>
          <w:spacing w:val="-36"/>
          <w:u w:val="single"/>
        </w:rPr>
        <w:t> </w:t>
      </w:r>
      <w:r>
        <w:rPr>
          <w:u w:val="single"/>
        </w:rPr>
        <w:t>anual.</w:t>
      </w:r>
    </w:p>
    <w:p>
      <w:pPr>
        <w:pStyle w:val="BodyText"/>
        <w:spacing w:before="4"/>
        <w:rPr>
          <w:b/>
        </w:rPr>
      </w:pPr>
    </w:p>
    <w:p>
      <w:pPr>
        <w:pStyle w:val="BodyText"/>
        <w:ind w:left="1363" w:right="1701"/>
        <w:jc w:val="both"/>
      </w:pPr>
      <w:r>
        <w:rPr/>
        <w:t>O Orzamento preséntase equilibrado en ingresos e gastos, polo importe total de 6.424.056,78 euros, polo que se está a cumprir cun dos principios clásicos e legais aplicables aos Orzamentos das Administracións públicas. Este equilibrio non debe ser unicamente de carácter formal, axustando as expectativas de ingresos ao montante total de gastos, senón que debe realizarse</w:t>
      </w:r>
    </w:p>
    <w:p>
      <w:pPr>
        <w:pStyle w:val="BodyText"/>
        <w:rPr>
          <w:sz w:val="20"/>
        </w:rPr>
      </w:pPr>
    </w:p>
    <w:p>
      <w:pPr>
        <w:pStyle w:val="BodyText"/>
        <w:rPr>
          <w:sz w:val="12"/>
        </w:rPr>
      </w:pPr>
      <w:r>
        <w:rPr/>
        <w:pict>
          <v:line style="position:absolute;mso-position-horizontal-relative:page;mso-position-vertical-relative:paragraph;z-index:1240;mso-wrap-distance-left:0;mso-wrap-distance-right:0" from="85.099998pt,9.145095pt" to="510.199998pt,9.145095pt" stroked="true" strokeweight=".5pt" strokecolor="#000000">
            <v:stroke dashstyle="solid"/>
            <w10:wrap type="topAndBottom"/>
          </v:line>
        </w:pict>
      </w:r>
    </w:p>
    <w:p>
      <w:pPr>
        <w:pStyle w:val="Heading4"/>
      </w:pPr>
      <w:r>
        <w:rPr/>
        <w:t>Concello de Ortigueira</w:t>
      </w:r>
    </w:p>
    <w:p>
      <w:pPr>
        <w:spacing w:before="121"/>
        <w:ind w:left="1619" w:right="1947" w:firstLine="0"/>
        <w:jc w:val="center"/>
        <w:rPr>
          <w:sz w:val="16"/>
        </w:rPr>
      </w:pPr>
      <w:r>
        <w:rPr>
          <w:sz w:val="16"/>
        </w:rPr>
        <w:t>Plaza de Isabel II, s/n, Ortigueira. 15330 A Coruña. Tfno. 981400000. Fax: 981402536</w:t>
      </w:r>
    </w:p>
    <w:p>
      <w:pPr>
        <w:spacing w:after="0"/>
        <w:jc w:val="center"/>
        <w:rPr>
          <w:sz w:val="16"/>
        </w:rPr>
        <w:sectPr>
          <w:headerReference w:type="default" r:id="rId9"/>
          <w:pgSz w:w="11900" w:h="16840"/>
          <w:pgMar w:header="710" w:footer="0" w:top="2240" w:bottom="0" w:left="340" w:right="0"/>
        </w:sectPr>
      </w:pPr>
    </w:p>
    <w:p>
      <w:pPr>
        <w:pStyle w:val="BodyText"/>
        <w:spacing w:before="10"/>
        <w:rPr>
          <w:sz w:val="9"/>
        </w:rPr>
      </w:pPr>
    </w:p>
    <w:p>
      <w:pPr>
        <w:pStyle w:val="BodyText"/>
        <w:spacing w:before="91"/>
        <w:ind w:left="1363" w:right="1698"/>
        <w:jc w:val="both"/>
      </w:pPr>
      <w:r>
        <w:rPr/>
        <w:t>partindo sempre do Principio de prudencia na presupostación dos ingresos, de xeito que a futura liquidación non sexa de carácter negativo e conduza a un Remanente de tesourería negativo.</w:t>
      </w:r>
    </w:p>
    <w:p>
      <w:pPr>
        <w:pStyle w:val="BodyText"/>
        <w:spacing w:before="10"/>
        <w:rPr>
          <w:sz w:val="21"/>
        </w:rPr>
      </w:pPr>
    </w:p>
    <w:p>
      <w:pPr>
        <w:pStyle w:val="BodyText"/>
        <w:ind w:left="1363" w:right="1697"/>
        <w:jc w:val="both"/>
      </w:pPr>
      <w:r>
        <w:rPr/>
        <w:t>Así a </w:t>
      </w:r>
      <w:r>
        <w:rPr>
          <w:u w:val="single"/>
        </w:rPr>
        <w:t>estimación dos recursos económicos</w:t>
      </w:r>
      <w:r>
        <w:rPr/>
        <w:t> debe fundamentarse fundamentalmente valorando aspectos coma os seguintes:</w:t>
      </w:r>
    </w:p>
    <w:p>
      <w:pPr>
        <w:pStyle w:val="BodyText"/>
        <w:spacing w:before="1"/>
      </w:pPr>
    </w:p>
    <w:p>
      <w:pPr>
        <w:pStyle w:val="ListParagraph"/>
        <w:numPr>
          <w:ilvl w:val="0"/>
          <w:numId w:val="3"/>
        </w:numPr>
        <w:tabs>
          <w:tab w:pos="2083" w:val="left" w:leader="none"/>
          <w:tab w:pos="2084" w:val="left" w:leader="none"/>
        </w:tabs>
        <w:spacing w:line="240" w:lineRule="auto" w:before="0" w:after="0"/>
        <w:ind w:left="2084" w:right="1698" w:hanging="360"/>
        <w:jc w:val="left"/>
        <w:rPr>
          <w:sz w:val="22"/>
        </w:rPr>
      </w:pPr>
      <w:r>
        <w:rPr>
          <w:sz w:val="22"/>
        </w:rPr>
        <w:t>Comparativa previsións iniciais- dereitos liquidados no última liquidación aprobada e no avance da</w:t>
      </w:r>
      <w:r>
        <w:rPr>
          <w:spacing w:val="-6"/>
          <w:sz w:val="22"/>
        </w:rPr>
        <w:t> </w:t>
      </w:r>
      <w:r>
        <w:rPr>
          <w:sz w:val="22"/>
        </w:rPr>
        <w:t>corrente.</w:t>
      </w:r>
    </w:p>
    <w:p>
      <w:pPr>
        <w:pStyle w:val="BodyText"/>
        <w:spacing w:before="11"/>
        <w:rPr>
          <w:sz w:val="21"/>
        </w:rPr>
      </w:pPr>
    </w:p>
    <w:p>
      <w:pPr>
        <w:pStyle w:val="ListParagraph"/>
        <w:numPr>
          <w:ilvl w:val="0"/>
          <w:numId w:val="3"/>
        </w:numPr>
        <w:tabs>
          <w:tab w:pos="2083" w:val="left" w:leader="none"/>
          <w:tab w:pos="2084" w:val="left" w:leader="none"/>
        </w:tabs>
        <w:spacing w:line="240" w:lineRule="auto" w:before="0" w:after="0"/>
        <w:ind w:left="2084" w:right="1711" w:hanging="360"/>
        <w:jc w:val="left"/>
        <w:rPr>
          <w:sz w:val="22"/>
        </w:rPr>
      </w:pPr>
      <w:r>
        <w:rPr/>
        <w:pict>
          <v:shape style="position:absolute;margin-left:535.991211pt;margin-top:9.812345pt;width:32.9pt;height:247.2pt;mso-position-horizontal-relative:page;mso-position-vertical-relative:paragraph;z-index:1384"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sz w:val="22"/>
        </w:rPr>
        <w:t>Os incrementos dos tipos de gravame dos diferentes tributos e prezos públicos , no caso de</w:t>
      </w:r>
      <w:r>
        <w:rPr>
          <w:spacing w:val="-2"/>
          <w:sz w:val="22"/>
        </w:rPr>
        <w:t> </w:t>
      </w:r>
      <w:r>
        <w:rPr>
          <w:sz w:val="22"/>
        </w:rPr>
        <w:t>producirse.</w:t>
      </w:r>
    </w:p>
    <w:p>
      <w:pPr>
        <w:pStyle w:val="BodyText"/>
        <w:spacing w:before="1"/>
      </w:pPr>
    </w:p>
    <w:p>
      <w:pPr>
        <w:pStyle w:val="ListParagraph"/>
        <w:numPr>
          <w:ilvl w:val="0"/>
          <w:numId w:val="3"/>
        </w:numPr>
        <w:tabs>
          <w:tab w:pos="2083" w:val="left" w:leader="none"/>
          <w:tab w:pos="2084" w:val="left" w:leader="none"/>
        </w:tabs>
        <w:spacing w:line="240" w:lineRule="auto" w:before="0" w:after="0"/>
        <w:ind w:left="2084" w:right="1707" w:hanging="360"/>
        <w:jc w:val="left"/>
        <w:rPr>
          <w:sz w:val="22"/>
        </w:rPr>
      </w:pPr>
      <w:r>
        <w:rPr>
          <w:sz w:val="22"/>
        </w:rPr>
        <w:t>A estimación de outros ingresos extraordinarios, previa acreditación xustificativa dos mesmos.</w:t>
      </w:r>
    </w:p>
    <w:p>
      <w:pPr>
        <w:pStyle w:val="BodyText"/>
        <w:spacing w:before="10"/>
        <w:rPr>
          <w:sz w:val="21"/>
        </w:rPr>
      </w:pPr>
    </w:p>
    <w:p>
      <w:pPr>
        <w:pStyle w:val="BodyText"/>
        <w:spacing w:before="1"/>
        <w:ind w:left="1363" w:right="1701"/>
        <w:jc w:val="both"/>
      </w:pPr>
      <w:r>
        <w:rPr/>
        <w:t>E pola súa parte a </w:t>
      </w:r>
      <w:r>
        <w:rPr>
          <w:u w:val="single"/>
        </w:rPr>
        <w:t>estimación dos créditos orzamentarios</w:t>
      </w:r>
      <w:r>
        <w:rPr/>
        <w:t> debe realizarse partindo das seguintes premisas:</w:t>
      </w:r>
    </w:p>
    <w:p>
      <w:pPr>
        <w:pStyle w:val="BodyText"/>
        <w:spacing w:before="1"/>
      </w:pPr>
    </w:p>
    <w:p>
      <w:pPr>
        <w:pStyle w:val="ListParagraph"/>
        <w:numPr>
          <w:ilvl w:val="0"/>
          <w:numId w:val="3"/>
        </w:numPr>
        <w:tabs>
          <w:tab w:pos="2083" w:val="left" w:leader="none"/>
          <w:tab w:pos="2084" w:val="left" w:leader="none"/>
        </w:tabs>
        <w:spacing w:line="252" w:lineRule="exact" w:before="0" w:after="0"/>
        <w:ind w:left="2084" w:right="0" w:hanging="360"/>
        <w:jc w:val="left"/>
        <w:rPr>
          <w:sz w:val="22"/>
        </w:rPr>
      </w:pPr>
      <w:r>
        <w:rPr>
          <w:spacing w:val="-4"/>
          <w:sz w:val="22"/>
        </w:rPr>
        <w:t>Valoración </w:t>
      </w:r>
      <w:r>
        <w:rPr>
          <w:sz w:val="22"/>
        </w:rPr>
        <w:t>da relación orzamentaria do</w:t>
      </w:r>
      <w:r>
        <w:rPr>
          <w:spacing w:val="2"/>
          <w:sz w:val="22"/>
        </w:rPr>
        <w:t> </w:t>
      </w:r>
      <w:r>
        <w:rPr>
          <w:sz w:val="22"/>
        </w:rPr>
        <w:t>persoal.</w:t>
      </w:r>
    </w:p>
    <w:p>
      <w:pPr>
        <w:pStyle w:val="ListParagraph"/>
        <w:numPr>
          <w:ilvl w:val="0"/>
          <w:numId w:val="3"/>
        </w:numPr>
        <w:tabs>
          <w:tab w:pos="2083" w:val="left" w:leader="none"/>
          <w:tab w:pos="2084" w:val="left" w:leader="none"/>
        </w:tabs>
        <w:spacing w:line="240" w:lineRule="auto" w:before="0" w:after="0"/>
        <w:ind w:left="2084" w:right="1698" w:hanging="360"/>
        <w:jc w:val="left"/>
        <w:rPr>
          <w:sz w:val="22"/>
        </w:rPr>
      </w:pPr>
      <w:r>
        <w:rPr>
          <w:sz w:val="22"/>
        </w:rPr>
        <w:t>Os compromisos adquiridos con terceiros, mediante contratos, convenios, pactos ou acordos.</w:t>
      </w:r>
    </w:p>
    <w:p>
      <w:pPr>
        <w:pStyle w:val="ListParagraph"/>
        <w:numPr>
          <w:ilvl w:val="0"/>
          <w:numId w:val="3"/>
        </w:numPr>
        <w:tabs>
          <w:tab w:pos="2083" w:val="left" w:leader="none"/>
          <w:tab w:pos="2084" w:val="left" w:leader="none"/>
        </w:tabs>
        <w:spacing w:line="240" w:lineRule="auto" w:before="0" w:after="0"/>
        <w:ind w:left="2084" w:right="1707" w:hanging="360"/>
        <w:jc w:val="left"/>
        <w:rPr>
          <w:sz w:val="22"/>
        </w:rPr>
      </w:pPr>
      <w:r>
        <w:rPr>
          <w:sz w:val="22"/>
        </w:rPr>
        <w:t>A cuantificación das necesidades de gastos correntes e servicios que debería ser facilitada polos diferentes Departamentos administrativos e</w:t>
      </w:r>
      <w:r>
        <w:rPr>
          <w:spacing w:val="-6"/>
          <w:sz w:val="22"/>
        </w:rPr>
        <w:t> </w:t>
      </w:r>
      <w:r>
        <w:rPr>
          <w:sz w:val="22"/>
        </w:rPr>
        <w:t>Concellerías.</w:t>
      </w:r>
    </w:p>
    <w:p>
      <w:pPr>
        <w:pStyle w:val="ListParagraph"/>
        <w:numPr>
          <w:ilvl w:val="0"/>
          <w:numId w:val="3"/>
        </w:numPr>
        <w:tabs>
          <w:tab w:pos="2084" w:val="left" w:leader="none"/>
        </w:tabs>
        <w:spacing w:line="240" w:lineRule="auto" w:before="0" w:after="0"/>
        <w:ind w:left="2084" w:right="1703" w:hanging="360"/>
        <w:jc w:val="both"/>
        <w:rPr>
          <w:sz w:val="22"/>
        </w:rPr>
      </w:pPr>
      <w:r>
        <w:rPr>
          <w:sz w:val="22"/>
        </w:rPr>
        <w:t>As posibles débedas de exercicios pechados, pendentes de recoñecemento por falla de crédito orzamentario nos exercicios de orixe e sobre os que exista resolución firme ou exista documentación acreditativa da execución da obra, prestación do servicio, entrega do subministro ou materialización do</w:t>
      </w:r>
      <w:r>
        <w:rPr>
          <w:spacing w:val="-6"/>
          <w:sz w:val="22"/>
        </w:rPr>
        <w:t> </w:t>
      </w:r>
      <w:r>
        <w:rPr>
          <w:sz w:val="22"/>
        </w:rPr>
        <w:t>gasto.</w:t>
      </w:r>
    </w:p>
    <w:p>
      <w:pPr>
        <w:pStyle w:val="ListParagraph"/>
        <w:numPr>
          <w:ilvl w:val="0"/>
          <w:numId w:val="3"/>
        </w:numPr>
        <w:tabs>
          <w:tab w:pos="2083" w:val="left" w:leader="none"/>
          <w:tab w:pos="2084" w:val="left" w:leader="none"/>
        </w:tabs>
        <w:spacing w:line="240" w:lineRule="auto" w:before="0" w:after="0"/>
        <w:ind w:left="2084" w:right="0" w:hanging="360"/>
        <w:jc w:val="left"/>
        <w:rPr>
          <w:sz w:val="22"/>
        </w:rPr>
      </w:pPr>
      <w:r>
        <w:rPr>
          <w:sz w:val="22"/>
        </w:rPr>
        <w:t>As anualidades dos proxectos de gastos de carácter plurianual</w:t>
      </w:r>
      <w:r>
        <w:rPr>
          <w:spacing w:val="-4"/>
          <w:sz w:val="22"/>
        </w:rPr>
        <w:t> </w:t>
      </w:r>
      <w:r>
        <w:rPr>
          <w:sz w:val="22"/>
        </w:rPr>
        <w:t>vixentes.</w:t>
      </w:r>
    </w:p>
    <w:p>
      <w:pPr>
        <w:pStyle w:val="ListParagraph"/>
        <w:numPr>
          <w:ilvl w:val="0"/>
          <w:numId w:val="3"/>
        </w:numPr>
        <w:tabs>
          <w:tab w:pos="2083" w:val="left" w:leader="none"/>
          <w:tab w:pos="2084" w:val="left" w:leader="none"/>
        </w:tabs>
        <w:spacing w:line="240" w:lineRule="auto" w:before="0" w:after="0"/>
        <w:ind w:left="2084" w:right="1708" w:hanging="360"/>
        <w:jc w:val="left"/>
        <w:rPr>
          <w:sz w:val="22"/>
        </w:rPr>
      </w:pPr>
      <w:r>
        <w:rPr/>
        <w:drawing>
          <wp:anchor distT="0" distB="0" distL="0" distR="0" allowOverlap="1" layoutInCell="1" locked="0" behindDoc="0" simplePos="0" relativeHeight="1360">
            <wp:simplePos x="0" y="0"/>
            <wp:positionH relativeFrom="page">
              <wp:posOffset>6871850</wp:posOffset>
            </wp:positionH>
            <wp:positionV relativeFrom="paragraph">
              <wp:posOffset>337432</wp:posOffset>
            </wp:positionV>
            <wp:extent cx="328070" cy="3911600"/>
            <wp:effectExtent l="0" t="0" r="0" b="0"/>
            <wp:wrapNone/>
            <wp:docPr id="11" name="image3.png" descr=""/>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328070" cy="3911600"/>
                    </a:xfrm>
                    <a:prstGeom prst="rect">
                      <a:avLst/>
                    </a:prstGeom>
                  </pic:spPr>
                </pic:pic>
              </a:graphicData>
            </a:graphic>
          </wp:anchor>
        </w:drawing>
      </w:r>
      <w:r>
        <w:rPr>
          <w:sz w:val="22"/>
        </w:rPr>
        <w:t>Os créditos necesarios para dar cobertura orzamentaria ós novos proxectos de inversión a iniciar no ano</w:t>
      </w:r>
      <w:r>
        <w:rPr>
          <w:spacing w:val="-8"/>
          <w:sz w:val="22"/>
        </w:rPr>
        <w:t> </w:t>
      </w:r>
      <w:r>
        <w:rPr>
          <w:sz w:val="22"/>
        </w:rPr>
        <w:t>2017.</w:t>
      </w:r>
    </w:p>
    <w:p>
      <w:pPr>
        <w:pStyle w:val="BodyText"/>
        <w:spacing w:before="11"/>
        <w:rPr>
          <w:sz w:val="21"/>
        </w:rPr>
      </w:pPr>
    </w:p>
    <w:p>
      <w:pPr>
        <w:pStyle w:val="BodyText"/>
        <w:ind w:left="1363" w:right="1701"/>
        <w:jc w:val="both"/>
      </w:pPr>
      <w:r>
        <w:rPr/>
        <w:pict>
          <v:shape style="position:absolute;margin-left:567.568359pt;margin-top:25.967739pt;width:14.75pt;height:272.75pt;mso-position-horizontal-relative:page;mso-position-vertical-relative:paragraph;z-index:1408"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3 de 11</w:t>
                  </w:r>
                </w:p>
              </w:txbxContent>
            </v:textbox>
            <w10:wrap type="none"/>
          </v:shape>
        </w:pict>
      </w:r>
      <w:r>
        <w:rPr/>
        <w:t>Pero non so debe cumprirse con este principio de nivelación formal, senón que tamén é necesario cumprir co principio de nivelación dende un punto de vista económico- orzamentario, así os gastos ordinarios ( gastos correntes e amortizacións de préstamos: capítulos 1,2,3,4 e 9) non poden ser maiores que os ingresos ordinarios ( ingresos correntes excepto ingresos correntes</w:t>
      </w:r>
      <w:r>
        <w:rPr>
          <w:spacing w:val="-2"/>
        </w:rPr>
        <w:t> </w:t>
      </w:r>
      <w:r>
        <w:rPr/>
        <w:t>extraordinarios)</w:t>
      </w:r>
    </w:p>
    <w:p>
      <w:pPr>
        <w:pStyle w:val="BodyText"/>
      </w:pPr>
    </w:p>
    <w:p>
      <w:pPr>
        <w:pStyle w:val="ListParagraph"/>
        <w:numPr>
          <w:ilvl w:val="0"/>
          <w:numId w:val="3"/>
        </w:numPr>
        <w:tabs>
          <w:tab w:pos="2083" w:val="left" w:leader="none"/>
          <w:tab w:pos="2084" w:val="left" w:leader="none"/>
        </w:tabs>
        <w:spacing w:line="240" w:lineRule="auto" w:before="0" w:after="0"/>
        <w:ind w:left="2084" w:right="0" w:hanging="360"/>
        <w:jc w:val="left"/>
        <w:rPr>
          <w:sz w:val="22"/>
        </w:rPr>
      </w:pPr>
      <w:r>
        <w:rPr>
          <w:sz w:val="22"/>
        </w:rPr>
        <w:t>Ingresos ordinarios:</w:t>
      </w:r>
      <w:r>
        <w:rPr>
          <w:spacing w:val="0"/>
          <w:sz w:val="22"/>
        </w:rPr>
        <w:t> </w:t>
      </w:r>
      <w:r>
        <w:rPr>
          <w:sz w:val="22"/>
        </w:rPr>
        <w:t>6.424.056,78€.</w:t>
      </w:r>
    </w:p>
    <w:p>
      <w:pPr>
        <w:pStyle w:val="ListParagraph"/>
        <w:numPr>
          <w:ilvl w:val="0"/>
          <w:numId w:val="3"/>
        </w:numPr>
        <w:tabs>
          <w:tab w:pos="2083" w:val="left" w:leader="none"/>
          <w:tab w:pos="2084" w:val="left" w:leader="none"/>
        </w:tabs>
        <w:spacing w:line="240" w:lineRule="auto" w:before="1" w:after="0"/>
        <w:ind w:left="2084" w:right="0" w:hanging="360"/>
        <w:jc w:val="left"/>
        <w:rPr>
          <w:sz w:val="22"/>
        </w:rPr>
      </w:pPr>
      <w:r>
        <w:rPr>
          <w:sz w:val="22"/>
        </w:rPr>
        <w:t>Gastos ordinarios: 6.347.256,78 €.</w:t>
      </w:r>
    </w:p>
    <w:p>
      <w:pPr>
        <w:pStyle w:val="BodyText"/>
      </w:pPr>
    </w:p>
    <w:p>
      <w:pPr>
        <w:pStyle w:val="BodyText"/>
        <w:ind w:left="1723" w:right="1699"/>
      </w:pPr>
      <w:r>
        <w:rPr/>
        <w:t>Da comparación da ambas cantidades pode determinarse que se cumpre co requisito de nivelación orzamentaria.</w:t>
      </w:r>
    </w:p>
    <w:p>
      <w:pPr>
        <w:pStyle w:val="BodyText"/>
        <w:spacing w:before="11"/>
        <w:rPr>
          <w:sz w:val="21"/>
        </w:rPr>
      </w:pPr>
    </w:p>
    <w:p>
      <w:pPr>
        <w:pStyle w:val="ListParagraph"/>
        <w:numPr>
          <w:ilvl w:val="0"/>
          <w:numId w:val="4"/>
        </w:numPr>
        <w:tabs>
          <w:tab w:pos="1650" w:val="left" w:leader="none"/>
        </w:tabs>
        <w:spacing w:line="240" w:lineRule="auto" w:before="0" w:after="0"/>
        <w:ind w:left="1364" w:right="1703" w:firstLine="0"/>
        <w:jc w:val="both"/>
        <w:rPr>
          <w:sz w:val="22"/>
        </w:rPr>
      </w:pPr>
      <w:r>
        <w:rPr>
          <w:b/>
          <w:sz w:val="22"/>
          <w:u w:val="single"/>
        </w:rPr>
        <w:t>Orzamento bruto:</w:t>
      </w:r>
      <w:r>
        <w:rPr>
          <w:b/>
          <w:sz w:val="22"/>
        </w:rPr>
        <w:t> </w:t>
      </w:r>
      <w:r>
        <w:rPr>
          <w:sz w:val="22"/>
        </w:rPr>
        <w:t>Cúmprese co principio de orzamento bruto, de modo que os gastos e os ingresos aparecen previstos polo seu importe total, non polo</w:t>
      </w:r>
      <w:r>
        <w:rPr>
          <w:spacing w:val="-6"/>
          <w:sz w:val="22"/>
        </w:rPr>
        <w:t> </w:t>
      </w:r>
      <w:r>
        <w:rPr>
          <w:sz w:val="22"/>
        </w:rPr>
        <w:t>neto.</w:t>
      </w:r>
    </w:p>
    <w:p>
      <w:pPr>
        <w:pStyle w:val="BodyText"/>
        <w:spacing w:before="1"/>
      </w:pPr>
    </w:p>
    <w:p>
      <w:pPr>
        <w:pStyle w:val="ListParagraph"/>
        <w:numPr>
          <w:ilvl w:val="0"/>
          <w:numId w:val="4"/>
        </w:numPr>
        <w:tabs>
          <w:tab w:pos="1740" w:val="left" w:leader="none"/>
        </w:tabs>
        <w:spacing w:line="240" w:lineRule="auto" w:before="0" w:after="0"/>
        <w:ind w:left="1364" w:right="1695" w:firstLine="0"/>
        <w:jc w:val="both"/>
        <w:rPr>
          <w:sz w:val="22"/>
        </w:rPr>
      </w:pPr>
      <w:r>
        <w:rPr>
          <w:b/>
          <w:sz w:val="22"/>
          <w:u w:val="single"/>
        </w:rPr>
        <w:t>Estabilidade orzamentaria:</w:t>
      </w:r>
      <w:r>
        <w:rPr>
          <w:b/>
          <w:sz w:val="22"/>
        </w:rPr>
        <w:t> </w:t>
      </w:r>
      <w:r>
        <w:rPr>
          <w:sz w:val="22"/>
        </w:rPr>
        <w:t>Respecto ao cumprimento do principio de estabilidade orzamentaria, emítese por esta intervención informe específico e</w:t>
      </w:r>
      <w:r>
        <w:rPr>
          <w:spacing w:val="-11"/>
          <w:sz w:val="22"/>
        </w:rPr>
        <w:t> </w:t>
      </w:r>
      <w:r>
        <w:rPr>
          <w:sz w:val="22"/>
        </w:rPr>
        <w:t>separado.</w:t>
      </w:r>
    </w:p>
    <w:p>
      <w:pPr>
        <w:pStyle w:val="BodyText"/>
        <w:spacing w:before="10"/>
        <w:rPr>
          <w:sz w:val="21"/>
        </w:rPr>
      </w:pPr>
    </w:p>
    <w:p>
      <w:pPr>
        <w:pStyle w:val="ListParagraph"/>
        <w:numPr>
          <w:ilvl w:val="0"/>
          <w:numId w:val="4"/>
        </w:numPr>
        <w:tabs>
          <w:tab w:pos="1652" w:val="left" w:leader="none"/>
        </w:tabs>
        <w:spacing w:line="240" w:lineRule="auto" w:before="0" w:after="0"/>
        <w:ind w:left="1651" w:right="0" w:hanging="287"/>
        <w:jc w:val="both"/>
        <w:rPr>
          <w:sz w:val="22"/>
        </w:rPr>
      </w:pPr>
      <w:r>
        <w:rPr>
          <w:b/>
          <w:sz w:val="22"/>
          <w:u w:val="single"/>
        </w:rPr>
        <w:t>Regra de gasto:</w:t>
      </w:r>
      <w:r>
        <w:rPr>
          <w:b/>
          <w:sz w:val="22"/>
        </w:rPr>
        <w:t> </w:t>
      </w:r>
      <w:r>
        <w:rPr>
          <w:sz w:val="22"/>
        </w:rPr>
        <w:t>Respecto ao cumprimento da regra do gasto, debe terse en conta que a</w:t>
      </w:r>
      <w:r>
        <w:rPr>
          <w:spacing w:val="11"/>
          <w:sz w:val="22"/>
        </w:rPr>
        <w:t> </w:t>
      </w:r>
      <w:r>
        <w:rPr>
          <w:sz w:val="22"/>
        </w:rPr>
        <w:t>Orde</w:t>
      </w:r>
    </w:p>
    <w:p>
      <w:pPr>
        <w:pStyle w:val="BodyText"/>
        <w:spacing w:before="8"/>
        <w:rPr>
          <w:sz w:val="28"/>
        </w:rPr>
      </w:pPr>
      <w:r>
        <w:rPr/>
        <w:pict>
          <v:line style="position:absolute;mso-position-horizontal-relative:page;mso-position-vertical-relative:paragraph;z-index:1336;mso-wrap-distance-left:0;mso-wrap-distance-right:0" from="85.099998pt,18.703333pt" to="510.199998pt,18.703333pt" stroked="true" strokeweight=".5pt" strokecolor="#000000">
            <v:stroke dashstyle="solid"/>
            <w10:wrap type="topAndBottom"/>
          </v:line>
        </w:pict>
      </w:r>
    </w:p>
    <w:p>
      <w:pPr>
        <w:pStyle w:val="Heading4"/>
      </w:pPr>
      <w:r>
        <w:rPr/>
        <w:t>Concello de Ortigueira</w:t>
      </w:r>
    </w:p>
    <w:p>
      <w:pPr>
        <w:spacing w:before="121"/>
        <w:ind w:left="1619" w:right="1947" w:firstLine="0"/>
        <w:jc w:val="center"/>
        <w:rPr>
          <w:sz w:val="16"/>
        </w:rPr>
      </w:pPr>
      <w:r>
        <w:rPr>
          <w:sz w:val="16"/>
        </w:rPr>
        <w:t>Plaza de Isabel II, s/n, Ortigueira. 15330 A Coruña. Tfno. 981400000. Fax: 981402536</w:t>
      </w:r>
    </w:p>
    <w:p>
      <w:pPr>
        <w:spacing w:after="0"/>
        <w:jc w:val="center"/>
        <w:rPr>
          <w:sz w:val="16"/>
        </w:rPr>
        <w:sectPr>
          <w:pgSz w:w="11900" w:h="16840"/>
          <w:pgMar w:header="710" w:footer="0" w:top="2240" w:bottom="0" w:left="340" w:right="0"/>
        </w:sectPr>
      </w:pPr>
    </w:p>
    <w:p>
      <w:pPr>
        <w:pStyle w:val="BodyText"/>
        <w:spacing w:before="10"/>
        <w:rPr>
          <w:sz w:val="9"/>
        </w:rPr>
      </w:pPr>
    </w:p>
    <w:p>
      <w:pPr>
        <w:pStyle w:val="BodyText"/>
        <w:spacing w:before="91"/>
        <w:ind w:left="1363" w:right="1701"/>
        <w:jc w:val="both"/>
      </w:pPr>
      <w:r>
        <w:rPr/>
        <w:t>HAP/2082/2014, de 7 de novembro, pola que se modifica a Orde HAP/2105/2012, de 1 de outubro, pola que se desenvolven as obrigas de subministración de información previstas na LO 2/2012, elimina a obriga de remisión do informe de Intervención sobre o cumprimento da regra de gasto, sendo soamente necesario nesta fase de aprobación do orzamento, o informe da Intervención de avaliación do cumprimento do obxectivo de estabilidade orzamentaria e do límite de débeda.</w:t>
      </w:r>
    </w:p>
    <w:p>
      <w:pPr>
        <w:pStyle w:val="BodyText"/>
        <w:spacing w:before="10"/>
        <w:rPr>
          <w:sz w:val="21"/>
        </w:rPr>
      </w:pPr>
    </w:p>
    <w:p>
      <w:pPr>
        <w:pStyle w:val="BodyText"/>
        <w:ind w:left="1363" w:right="1703"/>
        <w:jc w:val="both"/>
      </w:pPr>
      <w:r>
        <w:rPr/>
        <w:pict>
          <v:shape style="position:absolute;margin-left:535.991211pt;margin-top:35.112331pt;width:32.9pt;height:247.2pt;mso-position-horizontal-relative:page;mso-position-vertical-relative:paragraph;z-index:1480"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t>Tamén con respecto á información trimestral, se sustitúe a obriga de remisión da actualización do informe de Intervención sobre o cumprimento da regra de gasto, pola obriga de realizar unha valoración do cumprimento da regra de gasto ó peche do exercicio.</w:t>
      </w:r>
    </w:p>
    <w:p>
      <w:pPr>
        <w:pStyle w:val="BodyText"/>
      </w:pPr>
    </w:p>
    <w:p>
      <w:pPr>
        <w:pStyle w:val="BodyText"/>
        <w:spacing w:before="1"/>
        <w:ind w:left="1363" w:right="1699"/>
        <w:jc w:val="both"/>
      </w:pPr>
      <w:r>
        <w:rPr/>
        <w:t>A Subdirección General de Estudios y Financiación de Entidades Locales, dependente do Ministerio de Hacienda y Administraciones Públicas, establece no seu escrito de 5 de decembro de 2014 que, “Considerando lo expuesto, esta Subdirección General entiende que la valoración se deberá realizar con motivo del informe trimestral a la ejecución del presupuesto, estimando el cumplimiento de la regla de gasto a liquidación, pero no con ocasión de la aprobación del presupuesto general por lo que no será obligatoria la emisión de informe y valoración de la regla de gasto en relación con el presupuesto inicial o su proyecto ni su remisión al Ministerio de Hacienda</w:t>
      </w:r>
      <w:r>
        <w:rPr>
          <w:spacing w:val="-3"/>
        </w:rPr>
        <w:t> </w:t>
      </w:r>
      <w:r>
        <w:rPr/>
        <w:t>y</w:t>
      </w:r>
      <w:r>
        <w:rPr>
          <w:spacing w:val="-14"/>
        </w:rPr>
        <w:t> </w:t>
      </w:r>
      <w:r>
        <w:rPr/>
        <w:t>Administraciones</w:t>
      </w:r>
      <w:r>
        <w:rPr>
          <w:spacing w:val="-3"/>
        </w:rPr>
        <w:t> </w:t>
      </w:r>
      <w:r>
        <w:rPr/>
        <w:t>Públicas,</w:t>
      </w:r>
      <w:r>
        <w:rPr>
          <w:spacing w:val="-4"/>
        </w:rPr>
        <w:t> </w:t>
      </w:r>
      <w:r>
        <w:rPr/>
        <w:t>si</w:t>
      </w:r>
      <w:r>
        <w:rPr>
          <w:spacing w:val="-3"/>
        </w:rPr>
        <w:t> </w:t>
      </w:r>
      <w:r>
        <w:rPr/>
        <w:t>bien</w:t>
      </w:r>
      <w:r>
        <w:rPr>
          <w:spacing w:val="-4"/>
        </w:rPr>
        <w:t> </w:t>
      </w:r>
      <w:r>
        <w:rPr/>
        <w:t>esto</w:t>
      </w:r>
      <w:r>
        <w:rPr>
          <w:spacing w:val="-4"/>
        </w:rPr>
        <w:t> </w:t>
      </w:r>
      <w:r>
        <w:rPr/>
        <w:t>n</w:t>
      </w:r>
      <w:r>
        <w:rPr>
          <w:spacing w:val="-4"/>
        </w:rPr>
        <w:t> </w:t>
      </w:r>
      <w:r>
        <w:rPr/>
        <w:t>oes</w:t>
      </w:r>
      <w:r>
        <w:rPr>
          <w:spacing w:val="-3"/>
        </w:rPr>
        <w:t> </w:t>
      </w:r>
      <w:r>
        <w:rPr/>
        <w:t>óbice</w:t>
      </w:r>
      <w:r>
        <w:rPr>
          <w:spacing w:val="-4"/>
        </w:rPr>
        <w:t> </w:t>
      </w:r>
      <w:r>
        <w:rPr/>
        <w:t>para</w:t>
      </w:r>
      <w:r>
        <w:rPr>
          <w:spacing w:val="-4"/>
        </w:rPr>
        <w:t> </w:t>
      </w:r>
      <w:r>
        <w:rPr/>
        <w:t>que</w:t>
      </w:r>
      <w:r>
        <w:rPr>
          <w:spacing w:val="-3"/>
        </w:rPr>
        <w:t> </w:t>
      </w:r>
      <w:r>
        <w:rPr/>
        <w:t>el</w:t>
      </w:r>
      <w:r>
        <w:rPr>
          <w:spacing w:val="-3"/>
        </w:rPr>
        <w:t> </w:t>
      </w:r>
      <w:r>
        <w:rPr/>
        <w:t>órgano</w:t>
      </w:r>
      <w:r>
        <w:rPr>
          <w:spacing w:val="-4"/>
        </w:rPr>
        <w:t> </w:t>
      </w:r>
      <w:r>
        <w:rPr/>
        <w:t>interventor,</w:t>
      </w:r>
      <w:r>
        <w:rPr>
          <w:spacing w:val="-4"/>
        </w:rPr>
        <w:t> </w:t>
      </w:r>
      <w:r>
        <w:rPr/>
        <w:t>si así lo considera, incluya en su informe de fiscalización al presupuesto general cualquier aspecto sobre esta materia que considere</w:t>
      </w:r>
      <w:r>
        <w:rPr>
          <w:spacing w:val="-4"/>
        </w:rPr>
        <w:t> </w:t>
      </w:r>
      <w:r>
        <w:rPr/>
        <w:t>oportuno.”</w:t>
      </w:r>
    </w:p>
    <w:p>
      <w:pPr>
        <w:pStyle w:val="BodyText"/>
        <w:spacing w:before="1"/>
      </w:pPr>
    </w:p>
    <w:p>
      <w:pPr>
        <w:pStyle w:val="BodyText"/>
        <w:ind w:left="1363" w:right="1708"/>
        <w:jc w:val="both"/>
      </w:pPr>
      <w:r>
        <w:rPr/>
        <w:t>Por parte desta Intervención manifestar que dado que a valoración do cumprimento de regra de gasto se realizaba neste momento do exercicio, en base a estimacións dos datos</w:t>
      </w:r>
    </w:p>
    <w:p>
      <w:pPr>
        <w:pStyle w:val="BodyText"/>
        <w:ind w:left="1363" w:right="1701"/>
        <w:jc w:val="both"/>
      </w:pPr>
      <w:r>
        <w:rPr/>
        <w:drawing>
          <wp:anchor distT="0" distB="0" distL="0" distR="0" allowOverlap="1" layoutInCell="1" locked="0" behindDoc="0" simplePos="0" relativeHeight="1456">
            <wp:simplePos x="0" y="0"/>
            <wp:positionH relativeFrom="page">
              <wp:posOffset>6871850</wp:posOffset>
            </wp:positionH>
            <wp:positionV relativeFrom="paragraph">
              <wp:posOffset>980052</wp:posOffset>
            </wp:positionV>
            <wp:extent cx="328070" cy="3911600"/>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328070" cy="3911600"/>
                    </a:xfrm>
                    <a:prstGeom prst="rect">
                      <a:avLst/>
                    </a:prstGeom>
                  </pic:spPr>
                </pic:pic>
              </a:graphicData>
            </a:graphic>
          </wp:anchor>
        </w:drawing>
      </w:r>
      <w:r>
        <w:rPr/>
        <w:t>a</w:t>
      </w:r>
      <w:r>
        <w:rPr>
          <w:spacing w:val="-4"/>
        </w:rPr>
        <w:t> </w:t>
      </w:r>
      <w:r>
        <w:rPr/>
        <w:t>31</w:t>
      </w:r>
      <w:r>
        <w:rPr>
          <w:spacing w:val="-2"/>
        </w:rPr>
        <w:t> </w:t>
      </w:r>
      <w:r>
        <w:rPr/>
        <w:t>de</w:t>
      </w:r>
      <w:r>
        <w:rPr>
          <w:spacing w:val="-3"/>
        </w:rPr>
        <w:t> </w:t>
      </w:r>
      <w:r>
        <w:rPr/>
        <w:t>decembro</w:t>
      </w:r>
      <w:r>
        <w:rPr>
          <w:spacing w:val="-4"/>
        </w:rPr>
        <w:t> </w:t>
      </w:r>
      <w:r>
        <w:rPr/>
        <w:t>e</w:t>
      </w:r>
      <w:r>
        <w:rPr>
          <w:spacing w:val="-4"/>
        </w:rPr>
        <w:t> </w:t>
      </w:r>
      <w:r>
        <w:rPr/>
        <w:t>en</w:t>
      </w:r>
      <w:r>
        <w:rPr>
          <w:spacing w:val="-2"/>
        </w:rPr>
        <w:t> </w:t>
      </w:r>
      <w:r>
        <w:rPr/>
        <w:t>base</w:t>
      </w:r>
      <w:r>
        <w:rPr>
          <w:spacing w:val="-2"/>
        </w:rPr>
        <w:t> </w:t>
      </w:r>
      <w:r>
        <w:rPr/>
        <w:t>ás</w:t>
      </w:r>
      <w:r>
        <w:rPr>
          <w:spacing w:val="-1"/>
        </w:rPr>
        <w:t> </w:t>
      </w:r>
      <w:r>
        <w:rPr/>
        <w:t>previsións</w:t>
      </w:r>
      <w:r>
        <w:rPr>
          <w:spacing w:val="-1"/>
        </w:rPr>
        <w:t> </w:t>
      </w:r>
      <w:r>
        <w:rPr/>
        <w:t>de</w:t>
      </w:r>
      <w:r>
        <w:rPr>
          <w:spacing w:val="-2"/>
        </w:rPr>
        <w:t> </w:t>
      </w:r>
      <w:r>
        <w:rPr/>
        <w:t>gastos</w:t>
      </w:r>
      <w:r>
        <w:rPr>
          <w:spacing w:val="-3"/>
        </w:rPr>
        <w:t> </w:t>
      </w:r>
      <w:r>
        <w:rPr/>
        <w:t>e</w:t>
      </w:r>
      <w:r>
        <w:rPr>
          <w:spacing w:val="-2"/>
        </w:rPr>
        <w:t> </w:t>
      </w:r>
      <w:r>
        <w:rPr/>
        <w:t>ingresos</w:t>
      </w:r>
      <w:r>
        <w:rPr>
          <w:spacing w:val="-1"/>
        </w:rPr>
        <w:t> </w:t>
      </w:r>
      <w:r>
        <w:rPr/>
        <w:t>que</w:t>
      </w:r>
      <w:r>
        <w:rPr>
          <w:spacing w:val="-3"/>
        </w:rPr>
        <w:t> </w:t>
      </w:r>
      <w:r>
        <w:rPr/>
        <w:t>conforman</w:t>
      </w:r>
      <w:r>
        <w:rPr>
          <w:spacing w:val="-2"/>
        </w:rPr>
        <w:t> </w:t>
      </w:r>
      <w:r>
        <w:rPr/>
        <w:t>o</w:t>
      </w:r>
      <w:r>
        <w:rPr>
          <w:spacing w:val="-4"/>
        </w:rPr>
        <w:t> </w:t>
      </w:r>
      <w:r>
        <w:rPr/>
        <w:t>orzamento</w:t>
      </w:r>
      <w:r>
        <w:rPr>
          <w:spacing w:val="-2"/>
        </w:rPr>
        <w:t> </w:t>
      </w:r>
      <w:r>
        <w:rPr/>
        <w:t>xeral, podería darse o caso de que o orzamento cumprise coa regra de gasto e logo na liquidación con datos reais, tivese lugar un incumprimento ou ó revés, polo que será nas liquidacións, cos datos reais a 31 de decembro, onde se realizará informe sobre o cumprimento da regra de gasto e nese momento de non cumprir, haberá que realizar un plan de axuste. Momento no que sí será preceptivo a remisión do informe a través da plataforma da Oficina </w:t>
      </w:r>
      <w:r>
        <w:rPr>
          <w:spacing w:val="-3"/>
        </w:rPr>
        <w:t>Virtual </w:t>
      </w:r>
      <w:r>
        <w:rPr/>
        <w:t>para as Entidades Locais, ó Ministerio de Hacienda y Administraciones</w:t>
      </w:r>
      <w:r>
        <w:rPr>
          <w:spacing w:val="-18"/>
        </w:rPr>
        <w:t> </w:t>
      </w:r>
      <w:r>
        <w:rPr/>
        <w:t>Públicas.</w:t>
      </w:r>
    </w:p>
    <w:p>
      <w:pPr>
        <w:pStyle w:val="BodyText"/>
      </w:pPr>
    </w:p>
    <w:p>
      <w:pPr>
        <w:pStyle w:val="BodyText"/>
        <w:ind w:left="1363" w:right="1706"/>
        <w:jc w:val="both"/>
      </w:pPr>
      <w:r>
        <w:rPr/>
        <w:pict>
          <v:shape style="position:absolute;margin-left:567.568359pt;margin-top:13.267757pt;width:14.75pt;height:272.75pt;mso-position-horizontal-relative:page;mso-position-vertical-relative:paragraph;z-index:1504"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4 de 11</w:t>
                  </w:r>
                </w:p>
              </w:txbxContent>
            </v:textbox>
            <w10:wrap type="none"/>
          </v:shape>
        </w:pict>
      </w:r>
      <w:r>
        <w:rPr/>
        <w:t>Advertir que trimestralmente terá lugar unha valoración sobre o cumprimento de regra de gasto, e que de observar nese momento un posible incumprimento da mesma, haberá que tomar as medidas correctoras que procedan para que na liquidación do orzamento exista cumprimento deste extremo. O mesmo sucede coa evolución dos ingresos, que de observar que non é conforme o previsto, haberá que realizar a contención de gasto correspondente, para paliar o efecto que implicaría esa minoración de ingresos.</w:t>
      </w:r>
    </w:p>
    <w:p>
      <w:pPr>
        <w:pStyle w:val="BodyText"/>
        <w:spacing w:before="10"/>
        <w:rPr>
          <w:sz w:val="21"/>
        </w:rPr>
      </w:pPr>
    </w:p>
    <w:p>
      <w:pPr>
        <w:pStyle w:val="ListParagraph"/>
        <w:numPr>
          <w:ilvl w:val="0"/>
          <w:numId w:val="4"/>
        </w:numPr>
        <w:tabs>
          <w:tab w:pos="1712" w:val="left" w:leader="none"/>
        </w:tabs>
        <w:spacing w:line="240" w:lineRule="auto" w:before="1" w:after="0"/>
        <w:ind w:left="1364" w:right="1700" w:firstLine="0"/>
        <w:jc w:val="both"/>
        <w:rPr>
          <w:sz w:val="22"/>
        </w:rPr>
      </w:pPr>
      <w:r>
        <w:rPr>
          <w:b/>
          <w:sz w:val="22"/>
          <w:u w:val="single"/>
        </w:rPr>
        <w:t>Sostenibilidade financeira</w:t>
      </w:r>
      <w:r>
        <w:rPr>
          <w:b/>
          <w:sz w:val="22"/>
        </w:rPr>
        <w:t>: </w:t>
      </w:r>
      <w:r>
        <w:rPr>
          <w:sz w:val="22"/>
        </w:rPr>
        <w:t>Regúlase no artigo 4 da </w:t>
      </w:r>
      <w:r>
        <w:rPr>
          <w:spacing w:val="-4"/>
          <w:sz w:val="22"/>
        </w:rPr>
        <w:t>LOEOSF, </w:t>
      </w:r>
      <w:r>
        <w:rPr>
          <w:sz w:val="22"/>
        </w:rPr>
        <w:t>e enténdese como a capacidade para financiar compromisos de gasto presentes e futuros dentro dos límites de déficit e débeda pública. Ademais, o artigo 15 dispón que no primeiro semestre de cada ano o Goberno fixará o obxectivo de débeda pública referido aos tres exercicios seguintes para cada un dos subsectores da administración</w:t>
      </w:r>
      <w:r>
        <w:rPr>
          <w:spacing w:val="-1"/>
          <w:sz w:val="22"/>
        </w:rPr>
        <w:t> </w:t>
      </w:r>
      <w:r>
        <w:rPr>
          <w:sz w:val="22"/>
        </w:rPr>
        <w:t>pública.</w:t>
      </w:r>
    </w:p>
    <w:p>
      <w:pPr>
        <w:pStyle w:val="BodyText"/>
      </w:pPr>
    </w:p>
    <w:p>
      <w:pPr>
        <w:pStyle w:val="ListParagraph"/>
        <w:numPr>
          <w:ilvl w:val="0"/>
          <w:numId w:val="4"/>
        </w:numPr>
        <w:tabs>
          <w:tab w:pos="1632" w:val="left" w:leader="none"/>
        </w:tabs>
        <w:spacing w:line="240" w:lineRule="auto" w:before="0" w:after="0"/>
        <w:ind w:left="1364" w:right="1702" w:firstLine="0"/>
        <w:jc w:val="both"/>
        <w:rPr>
          <w:sz w:val="22"/>
        </w:rPr>
      </w:pPr>
      <w:r>
        <w:rPr>
          <w:b/>
          <w:sz w:val="22"/>
          <w:u w:val="single"/>
        </w:rPr>
        <w:t>Cumprimento do límite de débeda</w:t>
      </w:r>
      <w:r>
        <w:rPr>
          <w:b/>
          <w:sz w:val="22"/>
        </w:rPr>
        <w:t> </w:t>
      </w:r>
      <w:r>
        <w:rPr>
          <w:b/>
          <w:sz w:val="22"/>
          <w:u w:val="single"/>
        </w:rPr>
        <w:t>:</w:t>
      </w:r>
      <w:r>
        <w:rPr>
          <w:b/>
          <w:sz w:val="22"/>
        </w:rPr>
        <w:t> </w:t>
      </w:r>
      <w:r>
        <w:rPr>
          <w:sz w:val="22"/>
        </w:rPr>
        <w:t>A LOEPSF no seu artigo 13 establece a obrigación de non rebasar o límite de débeda pública que para as Entidades Locais fixouse no 3,6% do PIB para o exercicio 2017. Como non se determinou o PIB para o cálculo en termos de ingresos non financeiros, o informe emitido por intervención debe reducirse a calcular o “nivel de débeda viva segundo protocolo do Déficit Excesivo” e o “nivel de débeda viva</w:t>
      </w:r>
      <w:r>
        <w:rPr>
          <w:spacing w:val="-12"/>
          <w:sz w:val="22"/>
        </w:rPr>
        <w:t> </w:t>
      </w:r>
      <w:r>
        <w:rPr>
          <w:sz w:val="22"/>
        </w:rPr>
        <w:t>formalizada”.</w:t>
      </w:r>
    </w:p>
    <w:p>
      <w:pPr>
        <w:pStyle w:val="BodyText"/>
        <w:spacing w:before="7"/>
        <w:rPr>
          <w:sz w:val="28"/>
        </w:rPr>
      </w:pPr>
      <w:r>
        <w:rPr/>
        <w:pict>
          <v:line style="position:absolute;mso-position-horizontal-relative:page;mso-position-vertical-relative:paragraph;z-index:1432;mso-wrap-distance-left:0;mso-wrap-distance-right:0" from="85.099998pt,18.679052pt" to="510.199998pt,18.679052pt" stroked="true" strokeweight=".5pt" strokecolor="#000000">
            <v:stroke dashstyle="solid"/>
            <w10:wrap type="topAndBottom"/>
          </v:line>
        </w:pict>
      </w:r>
    </w:p>
    <w:p>
      <w:pPr>
        <w:pStyle w:val="Heading4"/>
      </w:pPr>
      <w:r>
        <w:rPr/>
        <w:t>Concello de Ortigueira</w:t>
      </w:r>
    </w:p>
    <w:p>
      <w:pPr>
        <w:spacing w:before="121"/>
        <w:ind w:left="1619" w:right="1947" w:firstLine="0"/>
        <w:jc w:val="center"/>
        <w:rPr>
          <w:sz w:val="16"/>
        </w:rPr>
      </w:pPr>
      <w:r>
        <w:rPr>
          <w:sz w:val="16"/>
        </w:rPr>
        <w:t>Plaza de Isabel II, s/n, Ortigueira. 15330 A Coruña. Tfno. 981400000. Fax: 981402536</w:t>
      </w:r>
    </w:p>
    <w:p>
      <w:pPr>
        <w:spacing w:after="0"/>
        <w:jc w:val="center"/>
        <w:rPr>
          <w:sz w:val="16"/>
        </w:rPr>
        <w:sectPr>
          <w:pgSz w:w="11900" w:h="16840"/>
          <w:pgMar w:header="710" w:footer="0" w:top="2240" w:bottom="0" w:left="340" w:right="0"/>
        </w:sectPr>
      </w:pPr>
    </w:p>
    <w:p>
      <w:pPr>
        <w:pStyle w:val="BodyText"/>
        <w:rPr>
          <w:sz w:val="20"/>
        </w:rPr>
      </w:pPr>
    </w:p>
    <w:p>
      <w:pPr>
        <w:pStyle w:val="BodyText"/>
        <w:spacing w:before="8"/>
        <w:rPr>
          <w:sz w:val="21"/>
        </w:rPr>
      </w:pPr>
    </w:p>
    <w:p>
      <w:pPr>
        <w:spacing w:before="0"/>
        <w:ind w:left="1363" w:right="1708" w:firstLine="0"/>
        <w:jc w:val="both"/>
        <w:rPr>
          <w:sz w:val="24"/>
        </w:rPr>
      </w:pPr>
      <w:r>
        <w:rPr>
          <w:sz w:val="24"/>
        </w:rPr>
        <w:t>O modelo deseñado pola Subdirección Xeneral de Relacións Financeiras coas Entidades Locais para a remisión de información por parte do Interventor municipal co motivo da aprobación do Orzamento 2013, utilizou este criterio de débeda.</w:t>
      </w:r>
    </w:p>
    <w:p>
      <w:pPr>
        <w:pStyle w:val="BodyText"/>
        <w:rPr>
          <w:sz w:val="24"/>
        </w:rPr>
      </w:pPr>
    </w:p>
    <w:p>
      <w:pPr>
        <w:spacing w:before="0"/>
        <w:ind w:left="1363" w:right="0" w:firstLine="0"/>
        <w:jc w:val="left"/>
        <w:rPr>
          <w:sz w:val="24"/>
        </w:rPr>
      </w:pPr>
      <w:r>
        <w:rPr>
          <w:sz w:val="24"/>
        </w:rPr>
        <w:t>En consecuencia:</w:t>
      </w:r>
    </w:p>
    <w:p>
      <w:pPr>
        <w:pStyle w:val="BodyText"/>
        <w:spacing w:before="1"/>
        <w:rPr>
          <w:sz w:val="24"/>
        </w:rPr>
      </w:pPr>
    </w:p>
    <w:p>
      <w:pPr>
        <w:tabs>
          <w:tab w:pos="2083" w:val="left" w:leader="none"/>
        </w:tabs>
        <w:spacing w:before="0"/>
        <w:ind w:left="2083" w:right="1701" w:hanging="360"/>
        <w:jc w:val="left"/>
        <w:rPr>
          <w:sz w:val="24"/>
        </w:rPr>
      </w:pPr>
      <w:r>
        <w:rPr/>
        <w:pict>
          <v:shape style="position:absolute;margin-left:535.991211pt;margin-top:26.998684pt;width:32.9pt;height:247.2pt;mso-position-horizontal-relative:page;mso-position-vertical-relative:paragraph;z-index:-22312"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rFonts w:ascii="Arial" w:hAnsi="Arial"/>
          <w:sz w:val="24"/>
        </w:rPr>
        <w:t>-</w:t>
        <w:tab/>
      </w:r>
      <w:r>
        <w:rPr>
          <w:sz w:val="24"/>
        </w:rPr>
        <w:t>O volume de débeda viva estimada a 31.12.2016, segundo cadro, cifrase en 2.249.498,35</w:t>
      </w:r>
      <w:r>
        <w:rPr>
          <w:spacing w:val="-1"/>
          <w:sz w:val="24"/>
        </w:rPr>
        <w:t> </w:t>
      </w:r>
      <w:r>
        <w:rPr>
          <w:sz w:val="24"/>
        </w:rPr>
        <w:t>euros:</w:t>
      </w:r>
    </w:p>
    <w:p>
      <w:pPr>
        <w:pStyle w:val="BodyText"/>
        <w:spacing w:before="9"/>
        <w:rPr>
          <w:sz w:val="17"/>
        </w:rPr>
      </w:pPr>
    </w:p>
    <w:p>
      <w:pPr>
        <w:spacing w:after="0"/>
        <w:rPr>
          <w:sz w:val="17"/>
        </w:rPr>
        <w:sectPr>
          <w:pgSz w:w="11900" w:h="16840"/>
          <w:pgMar w:header="710" w:footer="0" w:top="2240" w:bottom="0" w:left="340" w:right="0"/>
        </w:sectPr>
      </w:pPr>
    </w:p>
    <w:p>
      <w:pPr>
        <w:pStyle w:val="BodyText"/>
        <w:spacing w:before="8"/>
        <w:rPr>
          <w:sz w:val="19"/>
        </w:rPr>
      </w:pPr>
    </w:p>
    <w:p>
      <w:pPr>
        <w:pStyle w:val="Heading4"/>
        <w:numPr>
          <w:ilvl w:val="2"/>
          <w:numId w:val="5"/>
        </w:numPr>
        <w:tabs>
          <w:tab w:pos="696" w:val="left" w:leader="none"/>
        </w:tabs>
        <w:spacing w:line="240" w:lineRule="auto" w:before="0" w:after="0"/>
        <w:ind w:left="196" w:right="38" w:firstLine="0"/>
        <w:jc w:val="left"/>
      </w:pPr>
      <w:r>
        <w:rPr>
          <w:u w:val="single"/>
        </w:rPr>
        <w:t>B3. Estado de movimiento</w:t>
      </w:r>
      <w:r>
        <w:rPr>
          <w:spacing w:val="-8"/>
          <w:u w:val="single"/>
        </w:rPr>
        <w:t> </w:t>
      </w:r>
      <w:r>
        <w:rPr>
          <w:u w:val="single"/>
        </w:rPr>
        <w:t>y situación de la deuda</w:t>
      </w:r>
    </w:p>
    <w:p>
      <w:pPr>
        <w:pStyle w:val="BodyText"/>
        <w:spacing w:before="11"/>
        <w:rPr>
          <w:b/>
          <w:sz w:val="29"/>
        </w:rPr>
      </w:pPr>
      <w:r>
        <w:rPr/>
        <w:br w:type="column"/>
      </w:r>
      <w:r>
        <w:rPr>
          <w:b/>
          <w:sz w:val="29"/>
        </w:rPr>
      </w:r>
    </w:p>
    <w:p>
      <w:pPr>
        <w:tabs>
          <w:tab w:pos="3751" w:val="left" w:leader="none"/>
        </w:tabs>
        <w:spacing w:before="0"/>
        <w:ind w:left="195" w:right="0" w:firstLine="0"/>
        <w:jc w:val="left"/>
        <w:rPr>
          <w:b/>
          <w:sz w:val="22"/>
        </w:rPr>
      </w:pPr>
      <w:r>
        <w:rPr>
          <w:b/>
          <w:sz w:val="22"/>
        </w:rPr>
        <w:t>Prevision</w:t>
      </w:r>
      <w:r>
        <w:rPr>
          <w:b/>
          <w:spacing w:val="-3"/>
          <w:sz w:val="22"/>
        </w:rPr>
        <w:t> </w:t>
      </w:r>
      <w:r>
        <w:rPr>
          <w:b/>
          <w:sz w:val="22"/>
        </w:rPr>
        <w:t>a</w:t>
      </w:r>
      <w:r>
        <w:rPr>
          <w:b/>
          <w:spacing w:val="-3"/>
          <w:sz w:val="22"/>
        </w:rPr>
        <w:t> </w:t>
      </w:r>
      <w:r>
        <w:rPr>
          <w:b/>
          <w:sz w:val="22"/>
        </w:rPr>
        <w:t>31-12-2016</w:t>
        <w:tab/>
        <w:t>Prevision del ejercicio</w:t>
      </w:r>
      <w:r>
        <w:rPr>
          <w:b/>
          <w:spacing w:val="-21"/>
          <w:sz w:val="22"/>
        </w:rPr>
        <w:t> </w:t>
      </w:r>
      <w:r>
        <w:rPr>
          <w:b/>
          <w:sz w:val="22"/>
        </w:rPr>
        <w:t>2017</w:t>
      </w:r>
    </w:p>
    <w:p>
      <w:pPr>
        <w:pStyle w:val="BodyText"/>
        <w:rPr>
          <w:b/>
          <w:sz w:val="24"/>
        </w:rPr>
      </w:pPr>
    </w:p>
    <w:p>
      <w:pPr>
        <w:pStyle w:val="BodyText"/>
        <w:spacing w:before="7"/>
        <w:rPr>
          <w:b/>
          <w:sz w:val="21"/>
        </w:rPr>
      </w:pPr>
    </w:p>
    <w:p>
      <w:pPr>
        <w:tabs>
          <w:tab w:pos="4275" w:val="left" w:leader="none"/>
        </w:tabs>
        <w:spacing w:before="1"/>
        <w:ind w:left="2652" w:right="0" w:firstLine="0"/>
        <w:jc w:val="left"/>
        <w:rPr>
          <w:b/>
          <w:sz w:val="22"/>
        </w:rPr>
      </w:pPr>
      <w:r>
        <w:rPr>
          <w:position w:val="-13"/>
          <w:sz w:val="22"/>
        </w:rPr>
        <w:t>Dispuesto</w:t>
        <w:tab/>
      </w:r>
      <w:r>
        <w:rPr>
          <w:b/>
          <w:sz w:val="22"/>
        </w:rPr>
        <w:t>Amortizaciones</w:t>
      </w:r>
    </w:p>
    <w:p>
      <w:pPr>
        <w:pStyle w:val="BodyText"/>
        <w:rPr>
          <w:b/>
          <w:sz w:val="24"/>
        </w:rPr>
      </w:pPr>
      <w:r>
        <w:rPr/>
        <w:br w:type="column"/>
      </w:r>
      <w:r>
        <w:rPr>
          <w:b/>
          <w:sz w:val="24"/>
        </w:rPr>
      </w:r>
    </w:p>
    <w:p>
      <w:pPr>
        <w:pStyle w:val="BodyText"/>
        <w:spacing w:before="7"/>
        <w:rPr>
          <w:b/>
          <w:sz w:val="29"/>
        </w:rPr>
      </w:pPr>
    </w:p>
    <w:p>
      <w:pPr>
        <w:pStyle w:val="BodyText"/>
        <w:ind w:left="108" w:hanging="1"/>
        <w:jc w:val="center"/>
      </w:pPr>
      <w:r>
        <w:rPr/>
        <w:t>Intereses y gastos </w:t>
      </w:r>
      <w:r>
        <w:rPr>
          <w:spacing w:val="-1"/>
        </w:rPr>
        <w:t>financieros</w:t>
      </w:r>
    </w:p>
    <w:p>
      <w:pPr>
        <w:pStyle w:val="Heading4"/>
        <w:spacing w:before="90"/>
        <w:ind w:left="222" w:right="769"/>
      </w:pPr>
      <w:r>
        <w:rPr>
          <w:b w:val="0"/>
        </w:rPr>
        <w:br w:type="column"/>
      </w:r>
      <w:r>
        <w:rPr/>
        <w:t>Prevision a 31-12-2017</w:t>
      </w:r>
    </w:p>
    <w:p>
      <w:pPr>
        <w:pStyle w:val="BodyText"/>
        <w:spacing w:before="21"/>
        <w:ind w:left="175" w:right="734" w:hanging="1"/>
        <w:jc w:val="center"/>
      </w:pPr>
      <w:r>
        <w:rPr/>
        <w:pict>
          <v:group style="position:absolute;margin-left:22.700001pt;margin-top:-26.180456pt;width:546.25pt;height:550.7pt;mso-position-horizontal-relative:page;mso-position-vertical-relative:paragraph;z-index:-22336" coordorigin="454,-524" coordsize="10925,11014">
            <v:rect style="position:absolute;left:464;top:1680;width:1890;height:770" filled="true" fillcolor="#ffff99" stroked="false">
              <v:fill type="solid"/>
            </v:rect>
            <v:rect style="position:absolute;left:2354;top:1680;width:8922;height:770" filled="true" fillcolor="#9999ff" stroked="false">
              <v:fill type="solid"/>
            </v:rect>
            <v:rect style="position:absolute;left:464;top:2450;width:1890;height:600" filled="true" fillcolor="#ffff99" stroked="false">
              <v:fill type="solid"/>
            </v:rect>
            <v:rect style="position:absolute;left:9880;top:2450;width:1396;height:600" filled="true" fillcolor="#c0c0c0" stroked="false">
              <v:fill type="solid"/>
            </v:rect>
            <v:rect style="position:absolute;left:464;top:3050;width:1890;height:300" filled="true" fillcolor="#ffff99" stroked="false">
              <v:fill type="solid"/>
            </v:rect>
            <v:rect style="position:absolute;left:9880;top:3050;width:1396;height:300" filled="true" fillcolor="#c0c0c0" stroked="false">
              <v:fill type="solid"/>
            </v:rect>
            <v:rect style="position:absolute;left:464;top:3350;width:1890;height:900" filled="true" fillcolor="#ffff99" stroked="false">
              <v:fill type="solid"/>
            </v:rect>
            <v:rect style="position:absolute;left:2354;top:3350;width:8922;height:900" filled="true" fillcolor="#9999ff" stroked="false">
              <v:fill type="solid"/>
            </v:rect>
            <v:rect style="position:absolute;left:464;top:4250;width:1890;height:1012" filled="true" fillcolor="#ffff99" stroked="false">
              <v:fill type="solid"/>
            </v:rect>
            <v:rect style="position:absolute;left:9880;top:4250;width:1396;height:1012" filled="true" fillcolor="#c0c0c0" stroked="false">
              <v:fill type="solid"/>
            </v:rect>
            <v:rect style="position:absolute;left:464;top:5262;width:1890;height:506" filled="true" fillcolor="#ffff99" stroked="false">
              <v:fill type="solid"/>
            </v:rect>
            <v:rect style="position:absolute;left:9880;top:5262;width:1396;height:506" filled="true" fillcolor="#c0c0c0" stroked="false">
              <v:fill type="solid"/>
            </v:rect>
            <v:rect style="position:absolute;left:464;top:5768;width:1890;height:506" filled="true" fillcolor="#ffff99" stroked="false">
              <v:fill type="solid"/>
            </v:rect>
            <v:rect style="position:absolute;left:9880;top:5768;width:1396;height:506" filled="true" fillcolor="#c0c0c0" stroked="false">
              <v:fill type="solid"/>
            </v:rect>
            <v:rect style="position:absolute;left:464;top:6274;width:1890;height:506" filled="true" fillcolor="#ffff99" stroked="false">
              <v:fill type="solid"/>
            </v:rect>
            <v:rect style="position:absolute;left:9880;top:6274;width:1396;height:506" filled="true" fillcolor="#c0c0c0" stroked="false">
              <v:fill type="solid"/>
            </v:rect>
            <v:rect style="position:absolute;left:464;top:6780;width:1890;height:506" filled="true" fillcolor="#ffff99" stroked="false">
              <v:fill type="solid"/>
            </v:rect>
            <v:rect style="position:absolute;left:9880;top:6780;width:1396;height:506" filled="true" fillcolor="#c0c0c0" stroked="false">
              <v:fill type="solid"/>
            </v:rect>
            <v:rect style="position:absolute;left:464;top:7286;width:1890;height:314" filled="true" fillcolor="#ffff99" stroked="false">
              <v:fill type="solid"/>
            </v:rect>
            <v:rect style="position:absolute;left:2354;top:7286;width:8922;height:314" filled="true" fillcolor="#9999ff" stroked="false">
              <v:fill type="solid"/>
            </v:rect>
            <v:line style="position:absolute" from="464,1686" to="2354,1686" stroked="true" strokeweight=".6pt" strokecolor="#000000">
              <v:stroke dashstyle="solid"/>
            </v:line>
            <v:line style="position:absolute" from="2354,1686" to="3718,1686" stroked="true" strokeweight=".6pt" strokecolor="#000000">
              <v:stroke dashstyle="solid"/>
            </v:line>
            <v:line style="position:absolute" from="3718,1686" to="4874,1686" stroked="true" strokeweight=".6pt" strokecolor="#000000">
              <v:stroke dashstyle="solid"/>
            </v:line>
            <v:line style="position:absolute" from="4874,1686" to="6028,1686" stroked="true" strokeweight=".6pt" strokecolor="#000000">
              <v:stroke dashstyle="solid"/>
            </v:line>
            <v:line style="position:absolute" from="6028,1686" to="7218,1686" stroked="true" strokeweight=".6pt" strokecolor="#000000">
              <v:stroke dashstyle="solid"/>
            </v:line>
            <v:line style="position:absolute" from="7218,1686" to="8704,1686" stroked="true" strokeweight=".6pt" strokecolor="#000000">
              <v:stroke dashstyle="solid"/>
            </v:line>
            <v:line style="position:absolute" from="8704,1686" to="9880,1686" stroked="true" strokeweight=".6pt" strokecolor="#000000">
              <v:stroke dashstyle="solid"/>
            </v:line>
            <v:line style="position:absolute" from="9880,1686" to="11276,1686" stroked="true" strokeweight=".6pt" strokecolor="#000000">
              <v:stroke dashstyle="solid"/>
            </v:line>
            <v:rect style="position:absolute;left:464;top:7286;width:1896;height:22" filled="true" fillcolor="#000000" stroked="false">
              <v:fill type="solid"/>
            </v:rect>
            <v:line style="position:absolute" from="2350,7292" to="3724,7292" stroked="true" strokeweight=".6pt" strokecolor="#000000">
              <v:stroke dashstyle="solid"/>
            </v:line>
            <v:line style="position:absolute" from="3714,7292" to="4884,7292" stroked="true" strokeweight=".6pt" strokecolor="#000000">
              <v:stroke dashstyle="solid"/>
            </v:line>
            <v:line style="position:absolute" from="4864,7292" to="6034,7292" stroked="true" strokeweight=".6pt" strokecolor="#000000">
              <v:stroke dashstyle="solid"/>
            </v:line>
            <v:line style="position:absolute" from="6024,7292" to="7224,7292" stroked="true" strokeweight=".6pt" strokecolor="#000000">
              <v:stroke dashstyle="solid"/>
            </v:line>
            <v:line style="position:absolute" from="7214,7292" to="8710,7292" stroked="true" strokeweight=".6pt" strokecolor="#000000">
              <v:stroke dashstyle="solid"/>
            </v:line>
            <v:line style="position:absolute" from="8700,7292" to="9890,7292" stroked="true" strokeweight=".6pt" strokecolor="#000000">
              <v:stroke dashstyle="solid"/>
            </v:line>
            <v:line style="position:absolute" from="9870,7292" to="11282,7292" stroked="true" strokeweight=".6pt" strokecolor="#000000">
              <v:stroke dashstyle="solid"/>
            </v:line>
            <v:rect style="position:absolute;left:454;top:7600;width:10822;height:23" filled="true" fillcolor="#000000" stroked="false">
              <v:fill type="solid"/>
            </v:rect>
            <v:line style="position:absolute" from="454,-513" to="2360,-513" stroked="true" strokeweight="1.1pt" strokecolor="#000000">
              <v:stroke dashstyle="solid"/>
            </v:line>
            <v:line style="position:absolute" from="2350,-518" to="4890,-518" stroked="true" strokeweight=".6pt" strokecolor="#000000">
              <v:stroke dashstyle="solid"/>
            </v:line>
            <v:line style="position:absolute" from="4870,-518" to="9904,-518" stroked="true" strokeweight=".6pt" strokecolor="#000000">
              <v:stroke dashstyle="solid"/>
            </v:line>
            <v:line style="position:absolute" from="9884,-518" to="11282,-518" stroked="true" strokeweight=".6pt" strokecolor="#000000">
              <v:stroke dashstyle="solid"/>
            </v:line>
            <v:line style="position:absolute" from="465,-524" to="465,780" stroked="true" strokeweight="1.1pt" strokecolor="#000000">
              <v:stroke dashstyle="solid"/>
            </v:line>
            <v:line style="position:absolute" from="465,780" to="465,1690" stroked="true" strokeweight="1.1pt" strokecolor="#000000">
              <v:stroke dashstyle="solid"/>
            </v:line>
            <v:line style="position:absolute" from="465,1680" to="465,2450" stroked="true" strokeweight="1.1pt" strokecolor="#000000">
              <v:stroke dashstyle="solid"/>
            </v:line>
            <v:line style="position:absolute" from="465,2450" to="465,3050" stroked="true" strokeweight="1.1pt" strokecolor="#000000">
              <v:stroke dashstyle="solid"/>
            </v:line>
            <v:line style="position:absolute" from="465,3050" to="465,3350" stroked="true" strokeweight="1.1pt" strokecolor="#000000">
              <v:stroke dashstyle="solid"/>
            </v:line>
            <v:line style="position:absolute" from="465,3350" to="465,4250" stroked="true" strokeweight="1.1pt" strokecolor="#000000">
              <v:stroke dashstyle="solid"/>
            </v:line>
            <v:line style="position:absolute" from="465,4250" to="465,5262" stroked="true" strokeweight="1.1pt" strokecolor="#000000">
              <v:stroke dashstyle="solid"/>
            </v:line>
            <v:line style="position:absolute" from="465,5262" to="465,5768" stroked="true" strokeweight="1.1pt" strokecolor="#000000">
              <v:stroke dashstyle="solid"/>
            </v:line>
            <v:line style="position:absolute" from="465,5768" to="465,6274" stroked="true" strokeweight="1.1pt" strokecolor="#000000">
              <v:stroke dashstyle="solid"/>
            </v:line>
            <v:line style="position:absolute" from="465,6274" to="465,6780" stroked="true" strokeweight="1.1pt" strokecolor="#000000">
              <v:stroke dashstyle="solid"/>
            </v:line>
            <v:line style="position:absolute" from="465,6780" to="465,7308" stroked="true" strokeweight="1.1pt" strokecolor="#000000">
              <v:stroke dashstyle="solid"/>
            </v:line>
            <v:line style="position:absolute" from="465,7286" to="465,7622" stroked="true" strokeweight="1.1pt" strokecolor="#000000">
              <v:stroke dashstyle="solid"/>
            </v:line>
            <v:line style="position:absolute" from="2354,8" to="3724,8" stroked="true" strokeweight=".6pt" strokecolor="#000000">
              <v:stroke dashstyle="solid"/>
            </v:line>
            <v:line style="position:absolute" from="3714,8" to="4884,8" stroked="true" strokeweight=".6pt" strokecolor="#000000">
              <v:stroke dashstyle="solid"/>
            </v:line>
            <v:shape style="position:absolute;left:4864;top:2;width:26;height:12" coordorigin="4864,2" coordsize="26,12" path="m4870,2l4864,2,4874,8,4886,14,4890,14,4890,12,4880,8,4870,2xe" filled="true" fillcolor="#000000" stroked="false">
              <v:path arrowok="t"/>
              <v:fill type="solid"/>
            </v:shape>
            <v:line style="position:absolute" from="4870,8" to="6034,8" stroked="true" strokeweight=".6pt" strokecolor="#000000">
              <v:stroke dashstyle="solid"/>
            </v:line>
            <v:line style="position:absolute" from="6024,8" to="8714,8" stroked="true" strokeweight=".6pt" strokecolor="#000000">
              <v:stroke dashstyle="solid"/>
            </v:line>
            <v:line style="position:absolute" from="8704,8" to="9892,8" stroked="true" strokeweight=".6pt" strokecolor="#000000">
              <v:stroke dashstyle="solid"/>
            </v:line>
            <v:shape style="position:absolute;left:9872;top:2;width:32;height:12" coordorigin="9872,2" coordsize="32,12" path="m9884,2l9872,2,9882,8,9894,14,9904,14,9904,12,9894,8,9884,2xe" filled="true" fillcolor="#000000" stroked="false">
              <v:path arrowok="t"/>
              <v:fill type="solid"/>
            </v:shape>
            <v:line style="position:absolute" from="9884,8" to="11276,8" stroked="true" strokeweight=".6pt" strokecolor="#000000">
              <v:stroke dashstyle="solid"/>
            </v:line>
            <v:line style="position:absolute" from="2355,-514" to="2355,14" stroked="true" strokeweight=".5pt" strokecolor="#000000">
              <v:stroke dashstyle="solid"/>
            </v:line>
            <v:line style="position:absolute" from="2355,2" to="2355,780" stroked="true" strokeweight=".5pt" strokecolor="#000000">
              <v:stroke dashstyle="solid"/>
            </v:line>
            <v:line style="position:absolute" from="2355,780" to="2355,1686" stroked="true" strokeweight=".5pt" strokecolor="#000000">
              <v:stroke dashstyle="solid"/>
            </v:line>
            <v:line style="position:absolute" from="2355,1686" to="2355,2450" stroked="true" strokeweight=".5pt" strokecolor="#000000">
              <v:stroke dashstyle="solid"/>
            </v:line>
            <v:line style="position:absolute" from="2355,2450" to="2355,3050" stroked="true" strokeweight=".5pt" strokecolor="#000000">
              <v:stroke dashstyle="solid"/>
            </v:line>
            <v:line style="position:absolute" from="2355,3050" to="2355,3350" stroked="true" strokeweight=".5pt" strokecolor="#000000">
              <v:stroke dashstyle="solid"/>
            </v:line>
            <v:line style="position:absolute" from="2355,3350" to="2355,4250" stroked="true" strokeweight=".5pt" strokecolor="#000000">
              <v:stroke dashstyle="solid"/>
            </v:line>
            <v:line style="position:absolute" from="2355,4250" to="2355,5262" stroked="true" strokeweight=".5pt" strokecolor="#000000">
              <v:stroke dashstyle="solid"/>
            </v:line>
            <v:line style="position:absolute" from="2355,5262" to="2355,5768" stroked="true" strokeweight=".5pt" strokecolor="#000000">
              <v:stroke dashstyle="solid"/>
            </v:line>
            <v:line style="position:absolute" from="2355,5768" to="2355,6274" stroked="true" strokeweight=".5pt" strokecolor="#000000">
              <v:stroke dashstyle="solid"/>
            </v:line>
            <v:line style="position:absolute" from="2355,6274" to="2355,6780" stroked="true" strokeweight=".5pt" strokecolor="#000000">
              <v:stroke dashstyle="solid"/>
            </v:line>
            <v:line style="position:absolute" from="2355,6780" to="2355,7296" stroked="true" strokeweight=".5pt" strokecolor="#000000">
              <v:stroke dashstyle="solid"/>
            </v:line>
            <v:line style="position:absolute" from="3719,8" to="3719,1686" stroked="true" strokeweight=".5pt" strokecolor="#000000">
              <v:stroke dashstyle="solid"/>
            </v:line>
            <v:line style="position:absolute" from="3719,1686" to="3719,2450" stroked="true" strokeweight="1.1pt" strokecolor="#000000">
              <v:stroke dashstyle="solid"/>
            </v:line>
            <v:line style="position:absolute" from="3719,2450" to="3719,3050" stroked="true" strokeweight=".5pt" strokecolor="#000000">
              <v:stroke dashstyle="solid"/>
            </v:line>
            <v:line style="position:absolute" from="3719,3050" to="3719,3350" stroked="true" strokeweight=".5pt" strokecolor="#000000">
              <v:stroke dashstyle="solid"/>
            </v:line>
            <v:line style="position:absolute" from="3719,3350" to="3719,4250" stroked="true" strokeweight="1.1pt" strokecolor="#000000">
              <v:stroke dashstyle="solid"/>
            </v:line>
            <v:line style="position:absolute" from="3719,4250" to="3719,5262" stroked="true" strokeweight=".5pt" strokecolor="#000000">
              <v:stroke dashstyle="solid"/>
            </v:line>
            <v:line style="position:absolute" from="3719,5262" to="3719,5768" stroked="true" strokeweight=".5pt" strokecolor="#000000">
              <v:stroke dashstyle="solid"/>
            </v:line>
            <v:line style="position:absolute" from="3719,5768" to="3719,6274" stroked="true" strokeweight=".5pt" strokecolor="#000000">
              <v:stroke dashstyle="solid"/>
            </v:line>
            <v:line style="position:absolute" from="3719,6274" to="3719,6780" stroked="true" strokeweight=".5pt" strokecolor="#000000">
              <v:stroke dashstyle="solid"/>
            </v:line>
            <v:line style="position:absolute" from="3719,6780" to="3719,7292" stroked="true" strokeweight=".5pt" strokecolor="#000000">
              <v:stroke dashstyle="solid"/>
            </v:line>
            <v:line style="position:absolute" from="4875,8" to="4875,1686" stroked="true" strokeweight="1.1pt" strokecolor="#000000">
              <v:stroke dashstyle="solid"/>
            </v:line>
            <v:line style="position:absolute" from="4875,1686" to="4875,2450" stroked="true" strokeweight="1.1pt" strokecolor="#000000">
              <v:stroke dashstyle="solid"/>
            </v:line>
            <v:line style="position:absolute" from="4875,2450" to="4875,3050" stroked="true" strokeweight="1.1pt" strokecolor="#000000">
              <v:stroke dashstyle="solid"/>
            </v:line>
            <v:line style="position:absolute" from="4875,3050" to="4875,3350" stroked="true" strokeweight="1.1pt" strokecolor="#000000">
              <v:stroke dashstyle="solid"/>
            </v:line>
            <v:line style="position:absolute" from="4875,3350" to="4875,4250" stroked="true" strokeweight="1.1pt" strokecolor="#000000">
              <v:stroke dashstyle="solid"/>
            </v:line>
            <v:line style="position:absolute" from="4875,4250" to="4875,5262" stroked="true" strokeweight="1.1pt" strokecolor="#000000">
              <v:stroke dashstyle="solid"/>
            </v:line>
            <v:line style="position:absolute" from="4875,5262" to="4875,5768" stroked="true" strokeweight="1.1pt" strokecolor="#000000">
              <v:stroke dashstyle="solid"/>
            </v:line>
            <v:line style="position:absolute" from="4875,5768" to="4875,6274" stroked="true" strokeweight="1.1pt" strokecolor="#000000">
              <v:stroke dashstyle="solid"/>
            </v:line>
            <v:line style="position:absolute" from="4875,6274" to="4875,6780" stroked="true" strokeweight="1.1pt" strokecolor="#000000">
              <v:stroke dashstyle="solid"/>
            </v:line>
            <v:line style="position:absolute" from="4875,6780" to="4875,7292" stroked="true" strokeweight="1.1pt" strokecolor="#000000">
              <v:stroke dashstyle="solid"/>
            </v:line>
            <v:line style="position:absolute" from="4881,-518" to="4881,8" stroked="true" strokeweight="1.1pt" strokecolor="#000000">
              <v:stroke dashstyle="solid"/>
            </v:line>
            <v:line style="position:absolute" from="6028,786" to="7224,786" stroked="true" strokeweight=".6pt" strokecolor="#000000">
              <v:stroke dashstyle="solid"/>
            </v:line>
            <v:line style="position:absolute" from="7214,786" to="8710,786" stroked="true" strokeweight=".6pt" strokecolor="#000000">
              <v:stroke dashstyle="solid"/>
            </v:line>
            <v:shape style="position:absolute;left:8700;top:780;width:14;height:12" coordorigin="8700,780" coordsize="14,12" path="m8704,780l8700,780,8704,786,8710,792,8714,792,8708,786,8704,780xe" filled="true" fillcolor="#000000" stroked="false">
              <v:path arrowok="t"/>
              <v:fill type="solid"/>
            </v:shape>
            <v:line style="position:absolute" from="8704,786" to="9890,786" stroked="true" strokeweight=".6pt" strokecolor="#000000">
              <v:stroke dashstyle="solid"/>
            </v:line>
            <v:shape style="position:absolute;left:9870;top:780;width:22;height:12" coordorigin="9870,780" coordsize="22,12" path="m9872,780l9870,780,9880,786,9892,792,9892,790,9882,786,9872,780xe" filled="true" fillcolor="#000000" stroked="false">
              <v:path arrowok="t"/>
              <v:fill type="solid"/>
            </v:shape>
            <v:line style="position:absolute" from="9872,786" to="11276,786" stroked="true" strokeweight=".6pt" strokecolor="#000000">
              <v:stroke dashstyle="solid"/>
            </v:line>
            <v:line style="position:absolute" from="6029,8" to="6029,792" stroked="true" strokeweight=".5pt" strokecolor="#000000">
              <v:stroke dashstyle="solid"/>
            </v:line>
            <v:line style="position:absolute" from="6029,780" to="6029,1686" stroked="true" strokeweight=".5pt" strokecolor="#000000">
              <v:stroke dashstyle="solid"/>
            </v:line>
            <v:line style="position:absolute" from="6029,1686" to="6029,2450" stroked="true" strokeweight="1.1pt" strokecolor="#000000">
              <v:stroke dashstyle="solid"/>
            </v:line>
            <v:line style="position:absolute" from="6029,2450" to="6029,3050" stroked="true" strokeweight=".5pt" strokecolor="#000000">
              <v:stroke dashstyle="solid"/>
            </v:line>
            <v:line style="position:absolute" from="6029,3050" to="6029,3350" stroked="true" strokeweight=".5pt" strokecolor="#000000">
              <v:stroke dashstyle="solid"/>
            </v:line>
            <v:line style="position:absolute" from="6029,3350" to="6029,4250" stroked="true" strokeweight="1.1pt" strokecolor="#000000">
              <v:stroke dashstyle="solid"/>
            </v:line>
            <v:line style="position:absolute" from="6029,4250" to="6029,5262" stroked="true" strokeweight=".5pt" strokecolor="#000000">
              <v:stroke dashstyle="solid"/>
            </v:line>
            <v:line style="position:absolute" from="6029,5262" to="6029,5768" stroked="true" strokeweight=".5pt" strokecolor="#000000">
              <v:stroke dashstyle="solid"/>
            </v:line>
            <v:line style="position:absolute" from="6029,5768" to="6029,6274" stroked="true" strokeweight=".5pt" strokecolor="#000000">
              <v:stroke dashstyle="solid"/>
            </v:line>
            <v:line style="position:absolute" from="6029,6274" to="6029,6780" stroked="true" strokeweight=".5pt" strokecolor="#000000">
              <v:stroke dashstyle="solid"/>
            </v:line>
            <v:line style="position:absolute" from="6029,6780" to="6029,7292" stroked="true" strokeweight=".5pt" strokecolor="#000000">
              <v:stroke dashstyle="solid"/>
            </v:line>
            <v:line style="position:absolute" from="7219,786" to="7219,1686" stroked="true" strokeweight=".5pt" strokecolor="#000000">
              <v:stroke dashstyle="solid"/>
            </v:line>
            <v:line style="position:absolute" from="7219,1686" to="7219,2450" stroked="true" strokeweight="1.1pt" strokecolor="#000000">
              <v:stroke dashstyle="solid"/>
            </v:line>
            <v:line style="position:absolute" from="7219,2450" to="7219,3050" stroked="true" strokeweight=".5pt" strokecolor="#000000">
              <v:stroke dashstyle="solid"/>
            </v:line>
            <v:line style="position:absolute" from="7219,3050" to="7219,3350" stroked="true" strokeweight=".5pt" strokecolor="#000000">
              <v:stroke dashstyle="solid"/>
            </v:line>
            <v:line style="position:absolute" from="7219,3350" to="7219,4250" stroked="true" strokeweight="1.1pt" strokecolor="#000000">
              <v:stroke dashstyle="solid"/>
            </v:line>
            <v:line style="position:absolute" from="7219,4250" to="7219,5262" stroked="true" strokeweight=".5pt" strokecolor="#000000">
              <v:stroke dashstyle="solid"/>
            </v:line>
            <v:line style="position:absolute" from="7219,5262" to="7219,5768" stroked="true" strokeweight=".5pt" strokecolor="#000000">
              <v:stroke dashstyle="solid"/>
            </v:line>
            <v:line style="position:absolute" from="7219,5768" to="7219,6274" stroked="true" strokeweight=".5pt" strokecolor="#000000">
              <v:stroke dashstyle="solid"/>
            </v:line>
            <v:line style="position:absolute" from="7219,6274" to="7219,6780" stroked="true" strokeweight=".5pt" strokecolor="#000000">
              <v:stroke dashstyle="solid"/>
            </v:line>
            <v:line style="position:absolute" from="7219,6780" to="7219,7292" stroked="true" strokeweight=".5pt" strokecolor="#000000">
              <v:stroke dashstyle="solid"/>
            </v:line>
            <v:line style="position:absolute" from="8705,786" to="8705,1686" stroked="true" strokeweight=".5pt" strokecolor="#000000">
              <v:stroke dashstyle="solid"/>
            </v:line>
            <v:line style="position:absolute" from="8705,1686" to="8705,2450" stroked="true" strokeweight="1.1pt" strokecolor="#000000">
              <v:stroke dashstyle="solid"/>
            </v:line>
            <v:line style="position:absolute" from="8705,2450" to="8705,3050" stroked="true" strokeweight=".5pt" strokecolor="#000000">
              <v:stroke dashstyle="solid"/>
            </v:line>
            <v:line style="position:absolute" from="8705,3050" to="8705,3350" stroked="true" strokeweight=".5pt" strokecolor="#000000">
              <v:stroke dashstyle="solid"/>
            </v:line>
            <v:line style="position:absolute" from="8705,3350" to="8705,4250" stroked="true" strokeweight="1.1pt" strokecolor="#000000">
              <v:stroke dashstyle="solid"/>
            </v:line>
            <v:line style="position:absolute" from="8705,4250" to="8705,5262" stroked="true" strokeweight=".5pt" strokecolor="#000000">
              <v:stroke dashstyle="solid"/>
            </v:line>
            <v:line style="position:absolute" from="8705,5262" to="8705,5768" stroked="true" strokeweight=".5pt" strokecolor="#000000">
              <v:stroke dashstyle="solid"/>
            </v:line>
            <v:line style="position:absolute" from="8705,5768" to="8705,6274" stroked="true" strokeweight=".5pt" strokecolor="#000000">
              <v:stroke dashstyle="solid"/>
            </v:line>
            <v:line style="position:absolute" from="8705,6274" to="8705,6780" stroked="true" strokeweight=".5pt" strokecolor="#000000">
              <v:stroke dashstyle="solid"/>
            </v:line>
            <v:line style="position:absolute" from="8705,6780" to="8705,7292" stroked="true" strokeweight=".5pt" strokecolor="#000000">
              <v:stroke dashstyle="solid"/>
            </v:line>
            <v:line style="position:absolute" from="8709,8" to="8709,786" stroked="true" strokeweight=".5pt" strokecolor="#000000">
              <v:stroke dashstyle="solid"/>
            </v:line>
            <v:line style="position:absolute" from="9881,786" to="9881,1686" stroked="true" strokeweight="1.1pt" strokecolor="#000000">
              <v:stroke dashstyle="solid"/>
            </v:line>
            <v:line style="position:absolute" from="9881,1686" to="9881,2450" stroked="true" strokeweight="1.1pt" strokecolor="#000000">
              <v:stroke dashstyle="solid"/>
            </v:line>
            <v:line style="position:absolute" from="9881,2450" to="9881,3050" stroked="true" strokeweight="1.1pt" strokecolor="#000000">
              <v:stroke dashstyle="solid"/>
            </v:line>
            <v:line style="position:absolute" from="9881,3050" to="9881,3350" stroked="true" strokeweight="1.1pt" strokecolor="#000000">
              <v:stroke dashstyle="solid"/>
            </v:line>
            <v:line style="position:absolute" from="9881,3350" to="9881,4250" stroked="true" strokeweight="1.1pt" strokecolor="#000000">
              <v:stroke dashstyle="solid"/>
            </v:line>
            <v:line style="position:absolute" from="9881,4250" to="9881,5262" stroked="true" strokeweight="1.1pt" strokecolor="#000000">
              <v:stroke dashstyle="solid"/>
            </v:line>
            <v:line style="position:absolute" from="9881,5262" to="9881,5768" stroked="true" strokeweight="1.1pt" strokecolor="#000000">
              <v:stroke dashstyle="solid"/>
            </v:line>
            <v:line style="position:absolute" from="9881,5768" to="9881,6274" stroked="true" strokeweight="1.1pt" strokecolor="#000000">
              <v:stroke dashstyle="solid"/>
            </v:line>
            <v:line style="position:absolute" from="9881,6274" to="9881,6780" stroked="true" strokeweight="1.1pt" strokecolor="#000000">
              <v:stroke dashstyle="solid"/>
            </v:line>
            <v:line style="position:absolute" from="9881,6780" to="9881,7292" stroked="true" strokeweight="1.1pt" strokecolor="#000000">
              <v:stroke dashstyle="solid"/>
            </v:line>
            <v:line style="position:absolute" from="9883,8" to="9883,786" stroked="true" strokeweight="1.1pt" strokecolor="#000000">
              <v:stroke dashstyle="solid"/>
            </v:line>
            <v:line style="position:absolute" from="9895,-518" to="9895,8" stroked="true" strokeweight="1.1pt" strokecolor="#000000">
              <v:stroke dashstyle="solid"/>
            </v:line>
            <v:line style="position:absolute" from="11277,-524" to="11277,14" stroked="true" strokeweight=".5pt" strokecolor="#000000">
              <v:stroke dashstyle="solid"/>
            </v:line>
            <v:line style="position:absolute" from="11277,2" to="11277,792" stroked="true" strokeweight=".5pt" strokecolor="#000000">
              <v:stroke dashstyle="solid"/>
            </v:line>
            <v:line style="position:absolute" from="11277,780" to="11277,1692" stroked="true" strokeweight=".5pt" strokecolor="#000000">
              <v:stroke dashstyle="solid"/>
            </v:line>
            <v:line style="position:absolute" from="11277,1680" to="11277,2450" stroked="true" strokeweight=".5pt" strokecolor="#000000">
              <v:stroke dashstyle="solid"/>
            </v:line>
            <v:line style="position:absolute" from="11277,2450" to="11277,3050" stroked="true" strokeweight=".5pt" strokecolor="#000000">
              <v:stroke dashstyle="solid"/>
            </v:line>
            <v:line style="position:absolute" from="11277,3050" to="11277,3350" stroked="true" strokeweight=".5pt" strokecolor="#000000">
              <v:stroke dashstyle="solid"/>
            </v:line>
            <v:line style="position:absolute" from="11277,3350" to="11277,4250" stroked="true" strokeweight=".5pt" strokecolor="#000000">
              <v:stroke dashstyle="solid"/>
            </v:line>
            <v:line style="position:absolute" from="11277,4250" to="11277,5262" stroked="true" strokeweight=".5pt" strokecolor="#000000">
              <v:stroke dashstyle="solid"/>
            </v:line>
            <v:line style="position:absolute" from="11277,5262" to="11277,5768" stroked="true" strokeweight=".5pt" strokecolor="#000000">
              <v:stroke dashstyle="solid"/>
            </v:line>
            <v:line style="position:absolute" from="11277,5768" to="11277,6274" stroked="true" strokeweight=".5pt" strokecolor="#000000">
              <v:stroke dashstyle="solid"/>
            </v:line>
            <v:line style="position:absolute" from="11277,6274" to="11277,6780" stroked="true" strokeweight=".5pt" strokecolor="#000000">
              <v:stroke dashstyle="solid"/>
            </v:line>
            <v:line style="position:absolute" from="11277,6780" to="11277,7298" stroked="true" strokeweight=".5pt" strokecolor="#000000">
              <v:stroke dashstyle="solid"/>
            </v:line>
            <v:shape style="position:absolute;left:10821;top:4330;width:557;height:6160" type="#_x0000_t75" stroked="false">
              <v:imagedata r:id="rId10" o:title=""/>
            </v:shape>
            <w10:wrap type="none"/>
          </v:group>
        </w:pict>
      </w:r>
      <w:r>
        <w:rPr/>
        <w:t>Deuda viva (5)=(1)+(2)-(</w:t>
      </w:r>
    </w:p>
    <w:p>
      <w:pPr>
        <w:pStyle w:val="BodyText"/>
        <w:ind w:left="208" w:right="769"/>
        <w:jc w:val="center"/>
      </w:pPr>
      <w:r>
        <w:rPr/>
        <w:t>3)-(4)</w:t>
      </w:r>
    </w:p>
    <w:p>
      <w:pPr>
        <w:spacing w:after="0"/>
        <w:jc w:val="center"/>
        <w:sectPr>
          <w:type w:val="continuous"/>
          <w:pgSz w:w="11900" w:h="16840"/>
          <w:pgMar w:top="2120" w:bottom="0" w:left="340" w:right="0"/>
          <w:cols w:num="4" w:equalWidth="0">
            <w:col w:w="1787" w:space="235"/>
            <w:col w:w="6300" w:space="40"/>
            <w:col w:w="1084" w:space="39"/>
            <w:col w:w="2075"/>
          </w:cols>
        </w:sectPr>
      </w:pPr>
    </w:p>
    <w:p>
      <w:pPr>
        <w:pStyle w:val="BodyText"/>
        <w:rPr>
          <w:sz w:val="24"/>
        </w:rPr>
      </w:pPr>
    </w:p>
    <w:p>
      <w:pPr>
        <w:pStyle w:val="BodyText"/>
        <w:rPr>
          <w:sz w:val="20"/>
        </w:rPr>
      </w:pPr>
    </w:p>
    <w:p>
      <w:pPr>
        <w:pStyle w:val="Heading4"/>
        <w:spacing w:line="244" w:lineRule="auto" w:before="1"/>
        <w:ind w:left="166" w:right="17" w:firstLine="460"/>
        <w:jc w:val="left"/>
      </w:pPr>
      <w:r>
        <w:rPr/>
        <w:t>Concepto </w:t>
      </w:r>
      <w:r>
        <w:rPr>
          <w:u w:val="single"/>
        </w:rPr>
        <w:t>Operaciones con</w:t>
      </w:r>
      <w:r>
        <w:rPr/>
        <w:t> </w:t>
      </w:r>
      <w:r>
        <w:rPr>
          <w:u w:val="single"/>
        </w:rPr>
        <w:t>Entidades de</w:t>
      </w:r>
    </w:p>
    <w:p>
      <w:pPr>
        <w:pStyle w:val="BodyText"/>
        <w:spacing w:before="1"/>
        <w:rPr>
          <w:b/>
        </w:rPr>
      </w:pPr>
      <w:r>
        <w:rPr/>
        <w:br w:type="column"/>
      </w:r>
      <w:r>
        <w:rPr>
          <w:b/>
        </w:rPr>
      </w:r>
    </w:p>
    <w:p>
      <w:pPr>
        <w:pStyle w:val="BodyText"/>
        <w:spacing w:before="1"/>
        <w:ind w:left="542" w:right="20" w:hanging="376"/>
      </w:pPr>
      <w:r>
        <w:rPr/>
        <w:t>Deuda viva (1)</w:t>
      </w:r>
    </w:p>
    <w:p>
      <w:pPr>
        <w:pStyle w:val="BodyText"/>
        <w:spacing w:before="1"/>
      </w:pPr>
      <w:r>
        <w:rPr/>
        <w:br w:type="column"/>
      </w:r>
      <w:r>
        <w:rPr/>
      </w:r>
    </w:p>
    <w:p>
      <w:pPr>
        <w:pStyle w:val="BodyText"/>
        <w:spacing w:before="1"/>
        <w:ind w:left="166" w:right="19" w:firstLine="156"/>
      </w:pPr>
      <w:r>
        <w:rPr/>
        <w:t>Credito disponible</w:t>
      </w:r>
    </w:p>
    <w:p>
      <w:pPr>
        <w:pStyle w:val="BodyText"/>
        <w:spacing w:before="1"/>
        <w:ind w:left="166" w:right="38" w:firstLine="1"/>
        <w:jc w:val="center"/>
      </w:pPr>
      <w:r>
        <w:rPr/>
        <w:br w:type="column"/>
      </w:r>
      <w:r>
        <w:rPr/>
        <w:t>en el ejercicio (2)</w:t>
      </w:r>
    </w:p>
    <w:p>
      <w:pPr>
        <w:pStyle w:val="BodyText"/>
        <w:spacing w:before="1"/>
        <w:ind w:left="166"/>
        <w:jc w:val="center"/>
      </w:pPr>
      <w:r>
        <w:rPr/>
        <w:br w:type="column"/>
      </w:r>
      <w:r>
        <w:rPr/>
        <w:t>Ordinaria</w:t>
      </w:r>
      <w:r>
        <w:rPr>
          <w:spacing w:val="-8"/>
        </w:rPr>
        <w:t> </w:t>
      </w:r>
      <w:r>
        <w:rPr/>
        <w:t>s/ contrato</w:t>
      </w:r>
    </w:p>
    <w:p>
      <w:pPr>
        <w:pStyle w:val="BodyText"/>
        <w:ind w:left="167"/>
        <w:jc w:val="center"/>
      </w:pPr>
      <w:r>
        <w:rPr/>
        <w:t>(3)</w:t>
      </w:r>
    </w:p>
    <w:p>
      <w:pPr>
        <w:pStyle w:val="BodyText"/>
        <w:spacing w:before="1"/>
      </w:pPr>
      <w:r>
        <w:rPr/>
        <w:br w:type="column"/>
      </w:r>
      <w:r>
        <w:rPr/>
      </w:r>
    </w:p>
    <w:p>
      <w:pPr>
        <w:pStyle w:val="BodyText"/>
        <w:spacing w:before="1"/>
        <w:ind w:left="650" w:right="3281" w:hanging="508"/>
      </w:pPr>
      <w:r>
        <w:rPr/>
        <w:t>Extraordinaria (4)</w:t>
      </w:r>
    </w:p>
    <w:p>
      <w:pPr>
        <w:spacing w:after="0"/>
        <w:sectPr>
          <w:type w:val="continuous"/>
          <w:pgSz w:w="11900" w:h="16840"/>
          <w:pgMar w:top="2120" w:bottom="0" w:left="340" w:right="0"/>
          <w:cols w:num="6" w:equalWidth="0">
            <w:col w:w="1762" w:space="266"/>
            <w:col w:w="1214" w:space="64"/>
            <w:col w:w="1122" w:space="142"/>
            <w:col w:w="962" w:space="66"/>
            <w:col w:w="1208" w:space="40"/>
            <w:col w:w="4714"/>
          </w:cols>
        </w:sectPr>
      </w:pPr>
    </w:p>
    <w:p>
      <w:pPr>
        <w:tabs>
          <w:tab w:pos="2259" w:val="left" w:leader="none"/>
          <w:tab w:pos="4115" w:val="left" w:leader="none"/>
          <w:tab w:pos="5269" w:val="left" w:leader="none"/>
          <w:tab w:pos="5911" w:val="left" w:leader="none"/>
          <w:tab w:pos="7945" w:val="left" w:leader="none"/>
          <w:tab w:pos="8673" w:val="left" w:leader="none"/>
          <w:tab w:pos="9817" w:val="left" w:leader="none"/>
        </w:tabs>
        <w:spacing w:before="0"/>
        <w:ind w:left="166" w:right="0" w:firstLine="0"/>
        <w:jc w:val="left"/>
        <w:rPr>
          <w:b/>
          <w:sz w:val="20"/>
        </w:rPr>
      </w:pPr>
      <w:r>
        <w:rPr>
          <w:b/>
          <w:sz w:val="22"/>
          <w:u w:val="single"/>
        </w:rPr>
        <w:t>credito</w:t>
      </w:r>
      <w:r>
        <w:rPr>
          <w:b/>
          <w:sz w:val="22"/>
        </w:rPr>
        <w:tab/>
      </w:r>
      <w:r>
        <w:rPr>
          <w:b/>
          <w:sz w:val="20"/>
        </w:rPr>
        <w:t>1.533.655,21</w:t>
        <w:tab/>
        <w:t>0,00</w:t>
        <w:tab/>
        <w:t>0,00</w:t>
        <w:tab/>
        <w:t>292.777,91</w:t>
        <w:tab/>
        <w:t>0,00</w:t>
        <w:tab/>
        <w:t>23.218,66</w:t>
        <w:tab/>
        <w:t>1.240.877,30</w:t>
      </w:r>
    </w:p>
    <w:p>
      <w:pPr>
        <w:pStyle w:val="BodyText"/>
        <w:spacing w:before="89"/>
        <w:ind w:left="195"/>
      </w:pPr>
      <w:r>
        <w:rPr/>
        <w:t>Operaciones a</w:t>
      </w:r>
    </w:p>
    <w:p>
      <w:pPr>
        <w:tabs>
          <w:tab w:pos="2261" w:val="left" w:leader="none"/>
          <w:tab w:pos="5269" w:val="left" w:leader="none"/>
          <w:tab w:pos="5911" w:val="left" w:leader="none"/>
          <w:tab w:pos="9819" w:val="left" w:leader="none"/>
        </w:tabs>
        <w:spacing w:before="5"/>
        <w:ind w:left="195" w:right="0" w:firstLine="0"/>
        <w:jc w:val="left"/>
        <w:rPr>
          <w:sz w:val="20"/>
        </w:rPr>
      </w:pPr>
      <w:r>
        <w:rPr>
          <w:sz w:val="22"/>
        </w:rPr>
        <w:t>largo</w:t>
      </w:r>
      <w:r>
        <w:rPr>
          <w:spacing w:val="-3"/>
          <w:sz w:val="22"/>
        </w:rPr>
        <w:t> </w:t>
      </w:r>
      <w:r>
        <w:rPr>
          <w:sz w:val="22"/>
        </w:rPr>
        <w:t>plazo</w:t>
        <w:tab/>
      </w:r>
      <w:r>
        <w:rPr>
          <w:sz w:val="20"/>
        </w:rPr>
        <w:t>1.533.655,21</w:t>
        <w:tab/>
        <w:t>0,00</w:t>
        <w:tab/>
        <w:t>292.777,91</w:t>
        <w:tab/>
        <w:t>1.240.877,30</w:t>
      </w:r>
    </w:p>
    <w:p>
      <w:pPr>
        <w:pStyle w:val="BodyText"/>
        <w:rPr>
          <w:sz w:val="24"/>
        </w:rPr>
      </w:pPr>
    </w:p>
    <w:p>
      <w:pPr>
        <w:pStyle w:val="Heading4"/>
        <w:spacing w:before="161"/>
        <w:ind w:left="166" w:right="8682"/>
        <w:jc w:val="left"/>
      </w:pPr>
      <w:r>
        <w:rPr>
          <w:u w:val="single"/>
        </w:rPr>
        <w:t>Deudas con</w:t>
      </w:r>
      <w:r>
        <w:rPr/>
        <w:t> </w:t>
      </w:r>
      <w:r>
        <w:rPr>
          <w:u w:val="single"/>
        </w:rPr>
        <w:t>Administraciones</w:t>
      </w:r>
    </w:p>
    <w:p>
      <w:pPr>
        <w:tabs>
          <w:tab w:pos="2411" w:val="left" w:leader="none"/>
          <w:tab w:pos="4115" w:val="left" w:leader="none"/>
          <w:tab w:pos="5269" w:val="left" w:leader="none"/>
          <w:tab w:pos="6011" w:val="left" w:leader="none"/>
          <w:tab w:pos="7945" w:val="left" w:leader="none"/>
          <w:tab w:pos="9121" w:val="left" w:leader="none"/>
          <w:tab w:pos="9969" w:val="left" w:leader="none"/>
        </w:tabs>
        <w:spacing w:line="250" w:lineRule="exact" w:before="4"/>
        <w:ind w:left="166" w:right="0" w:firstLine="0"/>
        <w:jc w:val="left"/>
        <w:rPr>
          <w:b/>
          <w:sz w:val="20"/>
        </w:rPr>
      </w:pPr>
      <w:r>
        <w:rPr>
          <w:b/>
          <w:sz w:val="22"/>
          <w:u w:val="single"/>
        </w:rPr>
        <w:t>Públicas</w:t>
      </w:r>
      <w:r>
        <w:rPr>
          <w:b/>
          <w:sz w:val="22"/>
        </w:rPr>
        <w:tab/>
      </w:r>
      <w:r>
        <w:rPr>
          <w:b/>
          <w:sz w:val="20"/>
        </w:rPr>
        <w:t>972.341,45</w:t>
        <w:tab/>
        <w:t>0,00</w:t>
        <w:tab/>
        <w:t>0,00</w:t>
        <w:tab/>
        <w:t>33.928,26</w:t>
        <w:tab/>
        <w:t>0,00</w:t>
        <w:tab/>
        <w:t>0,00</w:t>
        <w:tab/>
        <w:t>938.413,19</w:t>
      </w:r>
    </w:p>
    <w:p>
      <w:pPr>
        <w:spacing w:line="240" w:lineRule="auto" w:before="0"/>
        <w:ind w:left="196" w:right="9767" w:firstLine="0"/>
        <w:jc w:val="left"/>
        <w:rPr>
          <w:sz w:val="22"/>
        </w:rPr>
      </w:pPr>
      <w:r>
        <w:rPr/>
        <w:pict>
          <v:shape style="position:absolute;margin-left:567.568359pt;margin-top:41.367733pt;width:14.75pt;height:272.75pt;mso-position-horizontal-relative:page;mso-position-vertical-relative:paragraph;z-index:1624"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5 de 11</w:t>
                  </w:r>
                </w:p>
              </w:txbxContent>
            </v:textbox>
            <w10:wrap type="none"/>
          </v:shape>
        </w:pict>
      </w:r>
      <w:r>
        <w:rPr>
          <w:b/>
          <w:sz w:val="22"/>
        </w:rPr>
        <w:t>Con la Administracion General del Estado* </w:t>
      </w:r>
      <w:r>
        <w:rPr>
          <w:sz w:val="22"/>
        </w:rPr>
        <w:t>Liquidación PIE -</w:t>
      </w:r>
    </w:p>
    <w:p>
      <w:pPr>
        <w:tabs>
          <w:tab w:pos="2511" w:val="left" w:leader="none"/>
          <w:tab w:pos="6011" w:val="left" w:leader="none"/>
          <w:tab w:pos="9121" w:val="left" w:leader="none"/>
          <w:tab w:pos="10069" w:val="left" w:leader="none"/>
        </w:tabs>
        <w:spacing w:line="250" w:lineRule="exact" w:before="2"/>
        <w:ind w:left="196" w:right="0" w:firstLine="0"/>
        <w:jc w:val="left"/>
        <w:rPr>
          <w:sz w:val="20"/>
        </w:rPr>
      </w:pPr>
      <w:r>
        <w:rPr/>
        <w:pict>
          <v:shape style="position:absolute;margin-left:537.890015pt;margin-top:1.458386pt;width:22.6pt;height:102.7pt;mso-position-horizontal-relative:page;mso-position-vertical-relative:paragraph;z-index:-22360" type="#_x0000_t202" filled="false" stroked="false">
            <v:textbox inset="0,0,0,0">
              <w:txbxContent>
                <w:p>
                  <w:pPr>
                    <w:spacing w:line="221" w:lineRule="exact" w:before="0"/>
                    <w:ind w:left="1" w:right="0" w:firstLine="0"/>
                    <w:jc w:val="left"/>
                    <w:rPr>
                      <w:sz w:val="20"/>
                    </w:rPr>
                  </w:pPr>
                  <w:r>
                    <w:rPr>
                      <w:sz w:val="20"/>
                    </w:rPr>
                    <w:t>28,78</w:t>
                  </w:r>
                </w:p>
                <w:p>
                  <w:pPr>
                    <w:pStyle w:val="BodyText"/>
                    <w:rPr>
                      <w:sz w:val="24"/>
                    </w:rPr>
                  </w:pPr>
                </w:p>
                <w:p>
                  <w:pPr>
                    <w:spacing w:before="0"/>
                    <w:ind w:left="1" w:right="0" w:firstLine="0"/>
                    <w:jc w:val="left"/>
                    <w:rPr>
                      <w:sz w:val="20"/>
                    </w:rPr>
                  </w:pPr>
                  <w:r>
                    <w:rPr>
                      <w:sz w:val="20"/>
                    </w:rPr>
                    <w:t>59,90</w:t>
                  </w:r>
                </w:p>
                <w:p>
                  <w:pPr>
                    <w:pStyle w:val="BodyText"/>
                    <w:rPr>
                      <w:sz w:val="24"/>
                    </w:rPr>
                  </w:pPr>
                </w:p>
                <w:p>
                  <w:pPr>
                    <w:spacing w:before="0"/>
                    <w:ind w:left="101" w:right="0" w:firstLine="0"/>
                    <w:jc w:val="center"/>
                    <w:rPr>
                      <w:sz w:val="20"/>
                    </w:rPr>
                  </w:pPr>
                  <w:r>
                    <w:rPr>
                      <w:sz w:val="20"/>
                    </w:rPr>
                    <w:t>8,72</w:t>
                  </w:r>
                </w:p>
                <w:p>
                  <w:pPr>
                    <w:pStyle w:val="BodyText"/>
                    <w:rPr>
                      <w:sz w:val="24"/>
                    </w:rPr>
                  </w:pPr>
                </w:p>
                <w:p>
                  <w:pPr>
                    <w:spacing w:before="0"/>
                    <w:ind w:left="99" w:right="0" w:firstLine="0"/>
                    <w:jc w:val="center"/>
                    <w:rPr>
                      <w:sz w:val="20"/>
                    </w:rPr>
                  </w:pPr>
                  <w:r>
                    <w:rPr>
                      <w:sz w:val="20"/>
                    </w:rPr>
                    <w:t>7,22</w:t>
                  </w:r>
                </w:p>
                <w:p>
                  <w:pPr>
                    <w:spacing w:before="84"/>
                    <w:ind w:left="0" w:right="1" w:firstLine="0"/>
                    <w:jc w:val="center"/>
                    <w:rPr>
                      <w:b/>
                      <w:sz w:val="20"/>
                    </w:rPr>
                  </w:pPr>
                  <w:r>
                    <w:rPr>
                      <w:b/>
                      <w:sz w:val="20"/>
                    </w:rPr>
                    <w:t>90,43</w:t>
                  </w:r>
                </w:p>
              </w:txbxContent>
            </v:textbox>
            <w10:wrap type="none"/>
          </v:shape>
        </w:pict>
      </w:r>
      <w:r>
        <w:rPr>
          <w:sz w:val="22"/>
        </w:rPr>
        <w:t>2008</w:t>
        <w:tab/>
      </w:r>
      <w:r>
        <w:rPr>
          <w:sz w:val="20"/>
        </w:rPr>
        <w:t>54.160,94</w:t>
        <w:tab/>
        <w:t>10.832,16</w:t>
        <w:tab/>
        <w:t>0,00</w:t>
        <w:tab/>
        <w:t>43.3</w:t>
      </w:r>
    </w:p>
    <w:p>
      <w:pPr>
        <w:pStyle w:val="BodyText"/>
        <w:spacing w:line="250" w:lineRule="exact"/>
        <w:ind w:left="196"/>
      </w:pPr>
      <w:r>
        <w:rPr/>
        <w:t>Liquidación PIE -</w:t>
      </w:r>
    </w:p>
    <w:p>
      <w:pPr>
        <w:tabs>
          <w:tab w:pos="2509" w:val="left" w:leader="none"/>
          <w:tab w:pos="6111" w:val="left" w:leader="none"/>
          <w:tab w:pos="9121" w:val="left" w:leader="none"/>
          <w:tab w:pos="10069" w:val="left" w:leader="none"/>
        </w:tabs>
        <w:spacing w:line="250" w:lineRule="exact" w:before="5"/>
        <w:ind w:left="196" w:right="0" w:firstLine="0"/>
        <w:jc w:val="left"/>
        <w:rPr>
          <w:sz w:val="20"/>
        </w:rPr>
      </w:pPr>
      <w:r>
        <w:rPr>
          <w:sz w:val="22"/>
        </w:rPr>
        <w:t>2009</w:t>
        <w:tab/>
      </w:r>
      <w:r>
        <w:rPr>
          <w:sz w:val="20"/>
        </w:rPr>
        <w:t>24.685,63</w:t>
        <w:tab/>
        <w:t>4.937,16</w:t>
        <w:tab/>
        <w:t>0,00</w:t>
        <w:tab/>
        <w:t>20.1</w:t>
      </w:r>
    </w:p>
    <w:p>
      <w:pPr>
        <w:pStyle w:val="BodyText"/>
        <w:spacing w:line="250" w:lineRule="exact"/>
        <w:ind w:left="196"/>
      </w:pPr>
      <w:r>
        <w:rPr/>
        <w:t>Ministerio de</w:t>
      </w:r>
    </w:p>
    <w:p>
      <w:pPr>
        <w:tabs>
          <w:tab w:pos="2411" w:val="left" w:leader="none"/>
          <w:tab w:pos="6011" w:val="left" w:leader="none"/>
          <w:tab w:pos="9121" w:val="left" w:leader="none"/>
          <w:tab w:pos="10517" w:val="right" w:leader="none"/>
        </w:tabs>
        <w:spacing w:line="250" w:lineRule="exact" w:before="5"/>
        <w:ind w:left="196" w:right="0" w:firstLine="0"/>
        <w:jc w:val="left"/>
        <w:rPr>
          <w:sz w:val="20"/>
        </w:rPr>
      </w:pPr>
      <w:r>
        <w:rPr>
          <w:sz w:val="22"/>
        </w:rPr>
        <w:t>Industria</w:t>
        <w:tab/>
      </w:r>
      <w:r>
        <w:rPr>
          <w:sz w:val="20"/>
        </w:rPr>
        <w:t>133.337,66</w:t>
        <w:tab/>
        <w:t>18.158,94</w:t>
        <w:tab/>
        <w:t>0,00</w:t>
        <w:tab/>
        <w:t>115.17</w:t>
      </w:r>
    </w:p>
    <w:p>
      <w:pPr>
        <w:pStyle w:val="Heading4"/>
        <w:spacing w:line="250" w:lineRule="exact" w:before="0"/>
        <w:ind w:left="195" w:right="0"/>
        <w:jc w:val="left"/>
      </w:pPr>
      <w:r>
        <w:rPr/>
        <w:t>Con la</w:t>
      </w:r>
    </w:p>
    <w:p>
      <w:pPr>
        <w:tabs>
          <w:tab w:pos="2411" w:val="left" w:leader="none"/>
          <w:tab w:pos="6459" w:val="left" w:leader="none"/>
          <w:tab w:pos="10519" w:val="right" w:leader="none"/>
        </w:tabs>
        <w:spacing w:before="5"/>
        <w:ind w:left="195" w:right="0" w:firstLine="0"/>
        <w:jc w:val="left"/>
        <w:rPr>
          <w:sz w:val="20"/>
        </w:rPr>
      </w:pPr>
      <w:r>
        <w:rPr>
          <w:b/>
          <w:sz w:val="22"/>
        </w:rPr>
        <w:t>Diputación*</w:t>
        <w:tab/>
      </w:r>
      <w:r>
        <w:rPr>
          <w:sz w:val="20"/>
        </w:rPr>
        <w:t>760.157,22</w:t>
        <w:tab/>
        <w:t>0,00</w:t>
        <w:tab/>
        <w:t>760.15</w:t>
      </w:r>
    </w:p>
    <w:p>
      <w:pPr>
        <w:tabs>
          <w:tab w:pos="2259" w:val="left" w:leader="none"/>
          <w:tab w:pos="4115" w:val="left" w:leader="none"/>
          <w:tab w:pos="5269" w:val="left" w:leader="none"/>
          <w:tab w:pos="5909" w:val="left" w:leader="none"/>
          <w:tab w:pos="7945" w:val="left" w:leader="none"/>
          <w:tab w:pos="8673" w:val="left" w:leader="none"/>
          <w:tab w:pos="10417" w:val="right" w:leader="none"/>
        </w:tabs>
        <w:spacing w:before="61"/>
        <w:ind w:left="196" w:right="0" w:firstLine="0"/>
        <w:jc w:val="left"/>
        <w:rPr>
          <w:b/>
          <w:sz w:val="20"/>
        </w:rPr>
      </w:pPr>
      <w:r>
        <w:rPr>
          <w:b/>
          <w:spacing w:val="-4"/>
          <w:sz w:val="22"/>
        </w:rPr>
        <w:t>TOTALES</w:t>
        <w:tab/>
      </w:r>
      <w:r>
        <w:rPr>
          <w:b/>
          <w:sz w:val="20"/>
        </w:rPr>
        <w:t>2.505.996,66</w:t>
        <w:tab/>
        <w:t>0,00</w:t>
        <w:tab/>
        <w:t>0,00</w:t>
        <w:tab/>
        <w:t>326.706,17</w:t>
        <w:tab/>
        <w:t>0,00</w:t>
        <w:tab/>
        <w:t>23.218,66</w:t>
        <w:tab/>
        <w:t>2.179.2</w:t>
      </w:r>
    </w:p>
    <w:p>
      <w:pPr>
        <w:pStyle w:val="BodyText"/>
        <w:rPr>
          <w:b/>
          <w:sz w:val="24"/>
        </w:rPr>
      </w:pPr>
    </w:p>
    <w:p>
      <w:pPr>
        <w:pStyle w:val="BodyText"/>
        <w:rPr>
          <w:b/>
          <w:sz w:val="24"/>
        </w:rPr>
      </w:pPr>
    </w:p>
    <w:p>
      <w:pPr>
        <w:pStyle w:val="BodyText"/>
        <w:spacing w:before="6"/>
        <w:rPr>
          <w:b/>
          <w:sz w:val="25"/>
        </w:rPr>
      </w:pPr>
    </w:p>
    <w:p>
      <w:pPr>
        <w:pStyle w:val="Heading3"/>
        <w:tabs>
          <w:tab w:pos="2083" w:val="left" w:leader="none"/>
        </w:tabs>
        <w:ind w:left="2083" w:hanging="360"/>
      </w:pPr>
      <w:r>
        <w:rPr>
          <w:rFonts w:ascii="Arial" w:hAnsi="Arial"/>
        </w:rPr>
        <w:t>-</w:t>
        <w:tab/>
      </w:r>
      <w:r>
        <w:rPr/>
        <w:t>O volume de débeda viva estimada a 31.12.2016, segundo cadro, cifrase en 2.505.996,66</w:t>
      </w:r>
      <w:r>
        <w:rPr>
          <w:spacing w:val="-1"/>
        </w:rPr>
        <w:t> </w:t>
      </w:r>
      <w:r>
        <w:rPr/>
        <w:t>euros</w:t>
      </w: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1528;mso-wrap-distance-left:0;mso-wrap-distance-right:0" from="85.099998pt,13.784625pt" to="510.199998pt,13.784625pt" stroked="true" strokeweight=".5pt" strokecolor="#000000">
            <v:stroke dashstyle="solid"/>
            <w10:wrap type="topAndBottom"/>
          </v:line>
        </w:pict>
      </w:r>
    </w:p>
    <w:p>
      <w:pPr>
        <w:pStyle w:val="Heading4"/>
      </w:pPr>
      <w:r>
        <w:rPr/>
        <w:t>Concello de Ortigueira</w:t>
      </w:r>
    </w:p>
    <w:p>
      <w:pPr>
        <w:spacing w:before="121"/>
        <w:ind w:left="1619" w:right="1947" w:firstLine="0"/>
        <w:jc w:val="center"/>
        <w:rPr>
          <w:sz w:val="16"/>
        </w:rPr>
      </w:pPr>
      <w:r>
        <w:rPr>
          <w:sz w:val="16"/>
        </w:rPr>
        <w:t>Plaza de Isabel II, s/n, Ortigueira. 15330 A Coruña. Tfno. 981400000. Fax: 981402536</w:t>
      </w:r>
    </w:p>
    <w:p>
      <w:pPr>
        <w:spacing w:after="0"/>
        <w:jc w:val="center"/>
        <w:rPr>
          <w:sz w:val="16"/>
        </w:rPr>
        <w:sectPr>
          <w:type w:val="continuous"/>
          <w:pgSz w:w="11900" w:h="16840"/>
          <w:pgMar w:top="2120" w:bottom="0" w:left="340" w:right="0"/>
        </w:sectPr>
      </w:pPr>
    </w:p>
    <w:p>
      <w:pPr>
        <w:pStyle w:val="BodyText"/>
        <w:rPr>
          <w:sz w:val="20"/>
        </w:rPr>
      </w:pPr>
    </w:p>
    <w:p>
      <w:pPr>
        <w:pStyle w:val="BodyText"/>
        <w:spacing w:before="8"/>
        <w:rPr>
          <w:sz w:val="21"/>
        </w:rPr>
      </w:pPr>
    </w:p>
    <w:tbl>
      <w:tblPr>
        <w:tblW w:w="0" w:type="auto"/>
        <w:jc w:val="left"/>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0"/>
        <w:gridCol w:w="1558"/>
        <w:gridCol w:w="850"/>
        <w:gridCol w:w="1558"/>
        <w:gridCol w:w="466"/>
        <w:gridCol w:w="946"/>
        <w:gridCol w:w="988"/>
        <w:gridCol w:w="1416"/>
        <w:gridCol w:w="1594"/>
      </w:tblGrid>
      <w:tr>
        <w:trPr>
          <w:trHeight w:val="1007" w:hRule="atLeast"/>
        </w:trPr>
        <w:tc>
          <w:tcPr>
            <w:tcW w:w="1130" w:type="dxa"/>
            <w:tcBorders>
              <w:left w:val="single" w:sz="4" w:space="0" w:color="000000"/>
              <w:right w:val="single" w:sz="4" w:space="0" w:color="000000"/>
            </w:tcBorders>
          </w:tcPr>
          <w:p>
            <w:pPr>
              <w:pStyle w:val="TableParagraph"/>
              <w:ind w:left="0"/>
              <w:rPr>
                <w:sz w:val="20"/>
              </w:rPr>
            </w:pPr>
          </w:p>
        </w:tc>
        <w:tc>
          <w:tcPr>
            <w:tcW w:w="1558" w:type="dxa"/>
            <w:tcBorders>
              <w:left w:val="single" w:sz="4" w:space="0" w:color="000000"/>
              <w:right w:val="single" w:sz="4" w:space="0" w:color="000000"/>
            </w:tcBorders>
          </w:tcPr>
          <w:p>
            <w:pPr>
              <w:pStyle w:val="TableParagraph"/>
              <w:ind w:right="259"/>
              <w:rPr>
                <w:sz w:val="22"/>
              </w:rPr>
            </w:pPr>
            <w:r>
              <w:rPr>
                <w:sz w:val="22"/>
              </w:rPr>
              <w:t>Total Ingresos Correntes</w:t>
            </w:r>
          </w:p>
        </w:tc>
        <w:tc>
          <w:tcPr>
            <w:tcW w:w="850" w:type="dxa"/>
            <w:tcBorders>
              <w:left w:val="single" w:sz="4" w:space="0" w:color="000000"/>
              <w:right w:val="single" w:sz="4" w:space="0" w:color="000000"/>
            </w:tcBorders>
          </w:tcPr>
          <w:p>
            <w:pPr>
              <w:pStyle w:val="TableParagraph"/>
              <w:ind w:right="97"/>
              <w:rPr>
                <w:sz w:val="22"/>
              </w:rPr>
            </w:pPr>
            <w:r>
              <w:rPr>
                <w:sz w:val="22"/>
              </w:rPr>
              <w:t>Emisió ns Débed</w:t>
            </w:r>
          </w:p>
          <w:p>
            <w:pPr>
              <w:pStyle w:val="TableParagraph"/>
              <w:spacing w:line="231" w:lineRule="exact"/>
              <w:rPr>
                <w:sz w:val="22"/>
              </w:rPr>
            </w:pPr>
            <w:r>
              <w:rPr>
                <w:sz w:val="22"/>
              </w:rPr>
              <w:t>a</w:t>
            </w:r>
          </w:p>
        </w:tc>
        <w:tc>
          <w:tcPr>
            <w:tcW w:w="1558" w:type="dxa"/>
            <w:tcBorders>
              <w:left w:val="single" w:sz="4" w:space="0" w:color="000000"/>
              <w:right w:val="single" w:sz="4" w:space="0" w:color="000000"/>
            </w:tcBorders>
          </w:tcPr>
          <w:p>
            <w:pPr>
              <w:pStyle w:val="TableParagraph"/>
              <w:tabs>
                <w:tab w:pos="620" w:val="left" w:leader="none"/>
              </w:tabs>
              <w:ind w:right="97"/>
              <w:rPr>
                <w:sz w:val="22"/>
              </w:rPr>
            </w:pPr>
            <w:r>
              <w:rPr>
                <w:sz w:val="22"/>
              </w:rPr>
              <w:t>O.</w:t>
              <w:tab/>
            </w:r>
            <w:r>
              <w:rPr>
                <w:spacing w:val="-1"/>
                <w:sz w:val="22"/>
              </w:rPr>
              <w:t>entidades </w:t>
            </w:r>
            <w:r>
              <w:rPr>
                <w:sz w:val="22"/>
              </w:rPr>
              <w:t>de</w:t>
            </w:r>
            <w:r>
              <w:rPr>
                <w:spacing w:val="-2"/>
                <w:sz w:val="22"/>
              </w:rPr>
              <w:t> </w:t>
            </w:r>
            <w:r>
              <w:rPr>
                <w:sz w:val="22"/>
              </w:rPr>
              <w:t>crédito</w:t>
            </w:r>
          </w:p>
        </w:tc>
        <w:tc>
          <w:tcPr>
            <w:tcW w:w="466" w:type="dxa"/>
            <w:tcBorders>
              <w:left w:val="single" w:sz="4" w:space="0" w:color="000000"/>
              <w:right w:val="single" w:sz="4" w:space="0" w:color="000000"/>
            </w:tcBorders>
          </w:tcPr>
          <w:p>
            <w:pPr>
              <w:pStyle w:val="TableParagraph"/>
              <w:ind w:right="111"/>
              <w:jc w:val="both"/>
              <w:rPr>
                <w:sz w:val="22"/>
              </w:rPr>
            </w:pPr>
            <w:r>
              <w:rPr>
                <w:sz w:val="22"/>
              </w:rPr>
              <w:t>Fa ct ori</w:t>
            </w:r>
          </w:p>
          <w:p>
            <w:pPr>
              <w:pStyle w:val="TableParagraph"/>
              <w:spacing w:line="231" w:lineRule="exact"/>
              <w:jc w:val="both"/>
              <w:rPr>
                <w:sz w:val="22"/>
              </w:rPr>
            </w:pPr>
            <w:r>
              <w:rPr>
                <w:sz w:val="22"/>
              </w:rPr>
              <w:t>ng</w:t>
            </w:r>
          </w:p>
        </w:tc>
        <w:tc>
          <w:tcPr>
            <w:tcW w:w="946" w:type="dxa"/>
            <w:tcBorders>
              <w:left w:val="single" w:sz="4" w:space="0" w:color="000000"/>
              <w:right w:val="single" w:sz="4" w:space="0" w:color="000000"/>
            </w:tcBorders>
          </w:tcPr>
          <w:p>
            <w:pPr>
              <w:pStyle w:val="TableParagraph"/>
              <w:ind w:right="108"/>
              <w:rPr>
                <w:sz w:val="22"/>
              </w:rPr>
            </w:pPr>
            <w:r>
              <w:rPr>
                <w:sz w:val="22"/>
              </w:rPr>
              <w:t>Avales Executa dos</w:t>
            </w:r>
          </w:p>
        </w:tc>
        <w:tc>
          <w:tcPr>
            <w:tcW w:w="988" w:type="dxa"/>
            <w:tcBorders>
              <w:left w:val="single" w:sz="4" w:space="0" w:color="000000"/>
              <w:right w:val="single" w:sz="4" w:space="0" w:color="000000"/>
            </w:tcBorders>
          </w:tcPr>
          <w:p>
            <w:pPr>
              <w:pStyle w:val="TableParagraph"/>
              <w:ind w:right="248"/>
              <w:rPr>
                <w:sz w:val="22"/>
              </w:rPr>
            </w:pPr>
            <w:r>
              <w:rPr>
                <w:sz w:val="22"/>
              </w:rPr>
              <w:t>Outras o. crédito</w:t>
            </w:r>
          </w:p>
        </w:tc>
        <w:tc>
          <w:tcPr>
            <w:tcW w:w="1416" w:type="dxa"/>
            <w:tcBorders>
              <w:left w:val="single" w:sz="4" w:space="0" w:color="000000"/>
              <w:right w:val="single" w:sz="4" w:space="0" w:color="000000"/>
            </w:tcBorders>
          </w:tcPr>
          <w:p>
            <w:pPr>
              <w:pStyle w:val="TableParagraph"/>
              <w:rPr>
                <w:sz w:val="22"/>
              </w:rPr>
            </w:pPr>
            <w:r>
              <w:rPr>
                <w:sz w:val="22"/>
              </w:rPr>
              <w:t>Débedas con AAPP</w:t>
            </w:r>
          </w:p>
        </w:tc>
        <w:tc>
          <w:tcPr>
            <w:tcW w:w="1594" w:type="dxa"/>
            <w:tcBorders>
              <w:left w:val="single" w:sz="4" w:space="0" w:color="000000"/>
              <w:right w:val="single" w:sz="4" w:space="0" w:color="000000"/>
            </w:tcBorders>
          </w:tcPr>
          <w:p>
            <w:pPr>
              <w:pStyle w:val="TableParagraph"/>
              <w:tabs>
                <w:tab w:pos="864" w:val="left" w:leader="none"/>
              </w:tabs>
              <w:spacing w:line="250" w:lineRule="exact"/>
              <w:rPr>
                <w:sz w:val="22"/>
              </w:rPr>
            </w:pPr>
            <w:r>
              <w:rPr>
                <w:spacing w:val="-4"/>
                <w:sz w:val="22"/>
              </w:rPr>
              <w:t>Total</w:t>
              <w:tab/>
            </w:r>
            <w:r>
              <w:rPr>
                <w:sz w:val="22"/>
              </w:rPr>
              <w:t>débeda</w:t>
            </w:r>
          </w:p>
          <w:p>
            <w:pPr>
              <w:pStyle w:val="TableParagraph"/>
              <w:tabs>
                <w:tab w:pos="1390" w:val="left" w:leader="none"/>
              </w:tabs>
              <w:spacing w:line="252" w:lineRule="exact"/>
              <w:rPr>
                <w:sz w:val="22"/>
              </w:rPr>
            </w:pPr>
            <w:r>
              <w:rPr>
                <w:sz w:val="22"/>
              </w:rPr>
              <w:t>viva</w:t>
              <w:tab/>
              <w:t>a</w:t>
            </w:r>
          </w:p>
          <w:p>
            <w:pPr>
              <w:pStyle w:val="TableParagraph"/>
              <w:spacing w:before="1"/>
              <w:rPr>
                <w:sz w:val="22"/>
              </w:rPr>
            </w:pPr>
            <w:r>
              <w:rPr>
                <w:sz w:val="22"/>
              </w:rPr>
              <w:t>31/12/2016</w:t>
            </w:r>
          </w:p>
        </w:tc>
      </w:tr>
      <w:tr>
        <w:trPr>
          <w:trHeight w:val="249" w:hRule="atLeast"/>
        </w:trPr>
        <w:tc>
          <w:tcPr>
            <w:tcW w:w="1130" w:type="dxa"/>
            <w:tcBorders>
              <w:left w:val="single" w:sz="4" w:space="0" w:color="000000"/>
              <w:right w:val="single" w:sz="4" w:space="0" w:color="000000"/>
            </w:tcBorders>
          </w:tcPr>
          <w:p>
            <w:pPr>
              <w:pStyle w:val="TableParagraph"/>
              <w:spacing w:line="229" w:lineRule="exact"/>
              <w:rPr>
                <w:sz w:val="22"/>
              </w:rPr>
            </w:pPr>
            <w:r>
              <w:rPr>
                <w:sz w:val="22"/>
              </w:rPr>
              <w:t>Concello</w:t>
            </w:r>
          </w:p>
        </w:tc>
        <w:tc>
          <w:tcPr>
            <w:tcW w:w="1558" w:type="dxa"/>
            <w:tcBorders>
              <w:left w:val="single" w:sz="4" w:space="0" w:color="000000"/>
              <w:right w:val="single" w:sz="4" w:space="0" w:color="000000"/>
            </w:tcBorders>
          </w:tcPr>
          <w:p>
            <w:pPr>
              <w:pStyle w:val="TableParagraph"/>
              <w:spacing w:line="229" w:lineRule="exact"/>
              <w:ind w:left="297"/>
              <w:rPr>
                <w:sz w:val="22"/>
              </w:rPr>
            </w:pPr>
            <w:r>
              <w:rPr>
                <w:sz w:val="22"/>
              </w:rPr>
              <w:t>6.424.056,78</w:t>
            </w:r>
          </w:p>
        </w:tc>
        <w:tc>
          <w:tcPr>
            <w:tcW w:w="850" w:type="dxa"/>
            <w:tcBorders>
              <w:left w:val="single" w:sz="4" w:space="0" w:color="000000"/>
              <w:right w:val="single" w:sz="4" w:space="0" w:color="000000"/>
            </w:tcBorders>
          </w:tcPr>
          <w:p>
            <w:pPr>
              <w:pStyle w:val="TableParagraph"/>
              <w:spacing w:line="229" w:lineRule="exact"/>
              <w:ind w:left="0" w:right="96"/>
              <w:jc w:val="right"/>
              <w:rPr>
                <w:sz w:val="22"/>
              </w:rPr>
            </w:pPr>
            <w:r>
              <w:rPr>
                <w:sz w:val="22"/>
              </w:rPr>
              <w:t>0</w:t>
            </w:r>
          </w:p>
        </w:tc>
        <w:tc>
          <w:tcPr>
            <w:tcW w:w="1558" w:type="dxa"/>
            <w:tcBorders>
              <w:left w:val="single" w:sz="4" w:space="0" w:color="000000"/>
              <w:right w:val="single" w:sz="4" w:space="0" w:color="000000"/>
            </w:tcBorders>
          </w:tcPr>
          <w:p>
            <w:pPr>
              <w:pStyle w:val="TableParagraph"/>
              <w:spacing w:line="229" w:lineRule="exact"/>
              <w:ind w:left="197"/>
              <w:rPr>
                <w:sz w:val="22"/>
              </w:rPr>
            </w:pPr>
            <w:r>
              <w:rPr>
                <w:sz w:val="22"/>
              </w:rPr>
              <w:t>1.533.655,21</w:t>
            </w:r>
          </w:p>
        </w:tc>
        <w:tc>
          <w:tcPr>
            <w:tcW w:w="466" w:type="dxa"/>
            <w:tcBorders>
              <w:left w:val="single" w:sz="4" w:space="0" w:color="000000"/>
              <w:right w:val="single" w:sz="4" w:space="0" w:color="000000"/>
            </w:tcBorders>
          </w:tcPr>
          <w:p>
            <w:pPr>
              <w:pStyle w:val="TableParagraph"/>
              <w:spacing w:line="229" w:lineRule="exact"/>
              <w:ind w:left="251"/>
              <w:rPr>
                <w:sz w:val="22"/>
              </w:rPr>
            </w:pPr>
            <w:r>
              <w:rPr>
                <w:sz w:val="22"/>
              </w:rPr>
              <w:t>0</w:t>
            </w:r>
          </w:p>
        </w:tc>
        <w:tc>
          <w:tcPr>
            <w:tcW w:w="946" w:type="dxa"/>
            <w:tcBorders>
              <w:left w:val="single" w:sz="4" w:space="0" w:color="000000"/>
              <w:right w:val="single" w:sz="4" w:space="0" w:color="000000"/>
            </w:tcBorders>
          </w:tcPr>
          <w:p>
            <w:pPr>
              <w:pStyle w:val="TableParagraph"/>
              <w:spacing w:line="229" w:lineRule="exact"/>
              <w:ind w:left="0" w:right="94"/>
              <w:jc w:val="right"/>
              <w:rPr>
                <w:sz w:val="22"/>
              </w:rPr>
            </w:pPr>
            <w:r>
              <w:rPr>
                <w:sz w:val="22"/>
              </w:rPr>
              <w:t>0</w:t>
            </w:r>
          </w:p>
        </w:tc>
        <w:tc>
          <w:tcPr>
            <w:tcW w:w="988" w:type="dxa"/>
            <w:tcBorders>
              <w:left w:val="single" w:sz="4" w:space="0" w:color="000000"/>
              <w:right w:val="single" w:sz="4" w:space="0" w:color="000000"/>
            </w:tcBorders>
          </w:tcPr>
          <w:p>
            <w:pPr>
              <w:pStyle w:val="TableParagraph"/>
              <w:spacing w:line="229" w:lineRule="exact"/>
              <w:ind w:left="0" w:right="94"/>
              <w:jc w:val="right"/>
              <w:rPr>
                <w:sz w:val="22"/>
              </w:rPr>
            </w:pPr>
            <w:r>
              <w:rPr>
                <w:sz w:val="22"/>
              </w:rPr>
              <w:t>0</w:t>
            </w:r>
          </w:p>
        </w:tc>
        <w:tc>
          <w:tcPr>
            <w:tcW w:w="1416" w:type="dxa"/>
            <w:tcBorders>
              <w:left w:val="single" w:sz="4" w:space="0" w:color="000000"/>
              <w:right w:val="single" w:sz="4" w:space="0" w:color="000000"/>
            </w:tcBorders>
          </w:tcPr>
          <w:p>
            <w:pPr>
              <w:pStyle w:val="TableParagraph"/>
              <w:spacing w:line="229" w:lineRule="exact"/>
              <w:ind w:left="98"/>
              <w:rPr>
                <w:sz w:val="22"/>
              </w:rPr>
            </w:pPr>
            <w:r>
              <w:rPr>
                <w:sz w:val="22"/>
              </w:rPr>
              <w:t>972.341,45</w:t>
            </w:r>
          </w:p>
        </w:tc>
        <w:tc>
          <w:tcPr>
            <w:tcW w:w="1594" w:type="dxa"/>
            <w:tcBorders>
              <w:left w:val="single" w:sz="4" w:space="0" w:color="000000"/>
              <w:right w:val="single" w:sz="4" w:space="0" w:color="000000"/>
            </w:tcBorders>
          </w:tcPr>
          <w:p>
            <w:pPr>
              <w:pStyle w:val="TableParagraph"/>
              <w:spacing w:line="229" w:lineRule="exact"/>
              <w:ind w:left="98"/>
              <w:rPr>
                <w:sz w:val="22"/>
              </w:rPr>
            </w:pPr>
            <w:r>
              <w:rPr>
                <w:sz w:val="22"/>
              </w:rPr>
              <w:t>2.505.996,66</w:t>
            </w:r>
          </w:p>
        </w:tc>
      </w:tr>
    </w:tbl>
    <w:p>
      <w:pPr>
        <w:pStyle w:val="BodyText"/>
        <w:rPr>
          <w:sz w:val="20"/>
        </w:rPr>
      </w:pPr>
    </w:p>
    <w:p>
      <w:pPr>
        <w:pStyle w:val="BodyText"/>
        <w:rPr>
          <w:sz w:val="20"/>
        </w:rPr>
      </w:pPr>
    </w:p>
    <w:p>
      <w:pPr>
        <w:pStyle w:val="BodyText"/>
        <w:spacing w:before="8"/>
        <w:rPr>
          <w:sz w:val="23"/>
        </w:rPr>
      </w:pPr>
    </w:p>
    <w:p>
      <w:pPr>
        <w:pStyle w:val="BodyText"/>
        <w:tabs>
          <w:tab w:pos="2083" w:val="left" w:leader="none"/>
        </w:tabs>
        <w:spacing w:before="93"/>
        <w:ind w:left="2083" w:right="1701" w:hanging="360"/>
      </w:pPr>
      <w:r>
        <w:rPr/>
        <w:pict>
          <v:shape style="position:absolute;margin-left:535.991211pt;margin-top:8.310672pt;width:32.9pt;height:247.2pt;mso-position-horizontal-relative:page;mso-position-vertical-relative:paragraph;z-index:-22216"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rFonts w:ascii="Arial" w:hAnsi="Arial"/>
        </w:rPr>
        <w:t>-</w:t>
        <w:tab/>
      </w:r>
      <w:r>
        <w:rPr/>
        <w:t>O volume de débeda formalizada a 31.12.2016, segundo cadro, cifrase en 2.505.996,66euros:</w:t>
      </w:r>
    </w:p>
    <w:tbl>
      <w:tblPr>
        <w:tblW w:w="0" w:type="auto"/>
        <w:jc w:val="left"/>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0"/>
        <w:gridCol w:w="1556"/>
        <w:gridCol w:w="850"/>
        <w:gridCol w:w="1416"/>
        <w:gridCol w:w="468"/>
        <w:gridCol w:w="946"/>
        <w:gridCol w:w="850"/>
        <w:gridCol w:w="1556"/>
        <w:gridCol w:w="1590"/>
      </w:tblGrid>
      <w:tr>
        <w:trPr>
          <w:trHeight w:val="1007" w:hRule="atLeast"/>
        </w:trPr>
        <w:tc>
          <w:tcPr>
            <w:tcW w:w="1090" w:type="dxa"/>
            <w:tcBorders>
              <w:left w:val="single" w:sz="4" w:space="0" w:color="000000"/>
              <w:right w:val="single" w:sz="4" w:space="0" w:color="000000"/>
            </w:tcBorders>
          </w:tcPr>
          <w:p>
            <w:pPr>
              <w:pStyle w:val="TableParagraph"/>
              <w:ind w:left="0"/>
              <w:rPr>
                <w:sz w:val="20"/>
              </w:rPr>
            </w:pPr>
          </w:p>
        </w:tc>
        <w:tc>
          <w:tcPr>
            <w:tcW w:w="1556" w:type="dxa"/>
            <w:tcBorders>
              <w:left w:val="single" w:sz="4" w:space="0" w:color="000000"/>
              <w:right w:val="single" w:sz="4" w:space="0" w:color="000000"/>
            </w:tcBorders>
          </w:tcPr>
          <w:p>
            <w:pPr>
              <w:pStyle w:val="TableParagraph"/>
              <w:ind w:right="571"/>
              <w:rPr>
                <w:sz w:val="22"/>
              </w:rPr>
            </w:pPr>
            <w:r>
              <w:rPr>
                <w:sz w:val="22"/>
              </w:rPr>
              <w:t>Total Ingresos Correntes</w:t>
            </w:r>
          </w:p>
        </w:tc>
        <w:tc>
          <w:tcPr>
            <w:tcW w:w="850" w:type="dxa"/>
            <w:tcBorders>
              <w:left w:val="single" w:sz="4" w:space="0" w:color="000000"/>
              <w:right w:val="single" w:sz="4" w:space="0" w:color="000000"/>
            </w:tcBorders>
          </w:tcPr>
          <w:p>
            <w:pPr>
              <w:pStyle w:val="TableParagraph"/>
              <w:ind w:right="97"/>
              <w:rPr>
                <w:sz w:val="22"/>
              </w:rPr>
            </w:pPr>
            <w:r>
              <w:rPr>
                <w:sz w:val="22"/>
              </w:rPr>
              <w:t>Emisió ns Débed</w:t>
            </w:r>
          </w:p>
          <w:p>
            <w:pPr>
              <w:pStyle w:val="TableParagraph"/>
              <w:spacing w:line="231" w:lineRule="exact"/>
              <w:rPr>
                <w:sz w:val="22"/>
              </w:rPr>
            </w:pPr>
            <w:r>
              <w:rPr>
                <w:sz w:val="22"/>
              </w:rPr>
              <w:t>a</w:t>
            </w:r>
          </w:p>
        </w:tc>
        <w:tc>
          <w:tcPr>
            <w:tcW w:w="1416" w:type="dxa"/>
            <w:tcBorders>
              <w:left w:val="single" w:sz="4" w:space="0" w:color="000000"/>
              <w:right w:val="single" w:sz="4" w:space="0" w:color="000000"/>
            </w:tcBorders>
          </w:tcPr>
          <w:p>
            <w:pPr>
              <w:pStyle w:val="TableParagraph"/>
              <w:ind w:right="19"/>
              <w:rPr>
                <w:sz w:val="22"/>
              </w:rPr>
            </w:pPr>
            <w:r>
              <w:rPr>
                <w:sz w:val="22"/>
              </w:rPr>
              <w:t>O. entidades de crédito</w:t>
            </w:r>
          </w:p>
        </w:tc>
        <w:tc>
          <w:tcPr>
            <w:tcW w:w="468" w:type="dxa"/>
            <w:tcBorders>
              <w:left w:val="single" w:sz="4" w:space="0" w:color="000000"/>
              <w:right w:val="single" w:sz="4" w:space="0" w:color="000000"/>
            </w:tcBorders>
          </w:tcPr>
          <w:p>
            <w:pPr>
              <w:pStyle w:val="TableParagraph"/>
              <w:ind w:right="113"/>
              <w:jc w:val="both"/>
              <w:rPr>
                <w:sz w:val="22"/>
              </w:rPr>
            </w:pPr>
            <w:r>
              <w:rPr>
                <w:sz w:val="22"/>
              </w:rPr>
              <w:t>Fa ct ori</w:t>
            </w:r>
          </w:p>
          <w:p>
            <w:pPr>
              <w:pStyle w:val="TableParagraph"/>
              <w:spacing w:line="231" w:lineRule="exact"/>
              <w:jc w:val="both"/>
              <w:rPr>
                <w:sz w:val="22"/>
              </w:rPr>
            </w:pPr>
            <w:r>
              <w:rPr>
                <w:sz w:val="22"/>
              </w:rPr>
              <w:t>ng</w:t>
            </w:r>
          </w:p>
        </w:tc>
        <w:tc>
          <w:tcPr>
            <w:tcW w:w="946" w:type="dxa"/>
            <w:tcBorders>
              <w:left w:val="single" w:sz="4" w:space="0" w:color="000000"/>
              <w:right w:val="single" w:sz="4" w:space="0" w:color="000000"/>
            </w:tcBorders>
          </w:tcPr>
          <w:p>
            <w:pPr>
              <w:pStyle w:val="TableParagraph"/>
              <w:ind w:right="108"/>
              <w:rPr>
                <w:sz w:val="22"/>
              </w:rPr>
            </w:pPr>
            <w:r>
              <w:rPr>
                <w:sz w:val="22"/>
              </w:rPr>
              <w:t>Avales Executa dos</w:t>
            </w:r>
          </w:p>
        </w:tc>
        <w:tc>
          <w:tcPr>
            <w:tcW w:w="850" w:type="dxa"/>
            <w:tcBorders>
              <w:left w:val="single" w:sz="4" w:space="0" w:color="000000"/>
              <w:right w:val="single" w:sz="4" w:space="0" w:color="000000"/>
            </w:tcBorders>
          </w:tcPr>
          <w:p>
            <w:pPr>
              <w:pStyle w:val="TableParagraph"/>
              <w:ind w:right="110"/>
              <w:rPr>
                <w:sz w:val="22"/>
              </w:rPr>
            </w:pPr>
            <w:r>
              <w:rPr>
                <w:sz w:val="22"/>
              </w:rPr>
              <w:t>Outras o. crédito</w:t>
            </w:r>
          </w:p>
        </w:tc>
        <w:tc>
          <w:tcPr>
            <w:tcW w:w="1556" w:type="dxa"/>
            <w:tcBorders>
              <w:left w:val="single" w:sz="4" w:space="0" w:color="000000"/>
              <w:right w:val="single" w:sz="4" w:space="0" w:color="000000"/>
            </w:tcBorders>
          </w:tcPr>
          <w:p>
            <w:pPr>
              <w:pStyle w:val="TableParagraph"/>
              <w:tabs>
                <w:tab w:pos="1131" w:val="left" w:leader="none"/>
              </w:tabs>
              <w:ind w:right="96"/>
              <w:rPr>
                <w:sz w:val="22"/>
              </w:rPr>
            </w:pPr>
            <w:r>
              <w:rPr>
                <w:sz w:val="22"/>
              </w:rPr>
              <w:t>Débedas</w:t>
              <w:tab/>
              <w:t>con AAPP</w:t>
            </w:r>
          </w:p>
        </w:tc>
        <w:tc>
          <w:tcPr>
            <w:tcW w:w="1590" w:type="dxa"/>
            <w:tcBorders>
              <w:left w:val="single" w:sz="4" w:space="0" w:color="000000"/>
              <w:right w:val="single" w:sz="4" w:space="0" w:color="000000"/>
            </w:tcBorders>
          </w:tcPr>
          <w:p>
            <w:pPr>
              <w:pStyle w:val="TableParagraph"/>
              <w:tabs>
                <w:tab w:pos="860" w:val="left" w:leader="none"/>
              </w:tabs>
              <w:spacing w:line="250" w:lineRule="exact"/>
              <w:rPr>
                <w:sz w:val="22"/>
              </w:rPr>
            </w:pPr>
            <w:r>
              <w:rPr>
                <w:spacing w:val="-4"/>
                <w:sz w:val="22"/>
              </w:rPr>
              <w:t>Total</w:t>
              <w:tab/>
            </w:r>
            <w:r>
              <w:rPr>
                <w:sz w:val="22"/>
              </w:rPr>
              <w:t>débeda</w:t>
            </w:r>
          </w:p>
          <w:p>
            <w:pPr>
              <w:pStyle w:val="TableParagraph"/>
              <w:tabs>
                <w:tab w:pos="1386" w:val="left" w:leader="none"/>
              </w:tabs>
              <w:spacing w:line="252" w:lineRule="exact"/>
              <w:ind w:left="98"/>
              <w:rPr>
                <w:sz w:val="22"/>
              </w:rPr>
            </w:pPr>
            <w:r>
              <w:rPr>
                <w:sz w:val="22"/>
              </w:rPr>
              <w:t>viva</w:t>
              <w:tab/>
              <w:t>a</w:t>
            </w:r>
          </w:p>
          <w:p>
            <w:pPr>
              <w:pStyle w:val="TableParagraph"/>
              <w:spacing w:before="1"/>
              <w:ind w:left="98"/>
              <w:rPr>
                <w:sz w:val="22"/>
              </w:rPr>
            </w:pPr>
            <w:r>
              <w:rPr>
                <w:sz w:val="22"/>
              </w:rPr>
              <w:t>31/12/2014</w:t>
            </w:r>
          </w:p>
        </w:tc>
      </w:tr>
      <w:tr>
        <w:trPr>
          <w:trHeight w:val="249" w:hRule="atLeast"/>
        </w:trPr>
        <w:tc>
          <w:tcPr>
            <w:tcW w:w="1090" w:type="dxa"/>
            <w:tcBorders>
              <w:left w:val="single" w:sz="4" w:space="0" w:color="000000"/>
              <w:right w:val="single" w:sz="4" w:space="0" w:color="000000"/>
            </w:tcBorders>
          </w:tcPr>
          <w:p>
            <w:pPr>
              <w:pStyle w:val="TableParagraph"/>
              <w:spacing w:line="229" w:lineRule="exact"/>
              <w:ind w:left="98"/>
              <w:rPr>
                <w:sz w:val="22"/>
              </w:rPr>
            </w:pPr>
            <w:r>
              <w:rPr>
                <w:sz w:val="22"/>
              </w:rPr>
              <w:t>Concello</w:t>
            </w:r>
          </w:p>
        </w:tc>
        <w:tc>
          <w:tcPr>
            <w:tcW w:w="1556" w:type="dxa"/>
            <w:tcBorders>
              <w:left w:val="single" w:sz="4" w:space="0" w:color="000000"/>
              <w:right w:val="single" w:sz="4" w:space="0" w:color="000000"/>
            </w:tcBorders>
          </w:tcPr>
          <w:p>
            <w:pPr>
              <w:pStyle w:val="TableParagraph"/>
              <w:spacing w:line="229" w:lineRule="exact"/>
              <w:ind w:left="294"/>
              <w:rPr>
                <w:sz w:val="22"/>
              </w:rPr>
            </w:pPr>
            <w:r>
              <w:rPr>
                <w:sz w:val="22"/>
              </w:rPr>
              <w:t>6.424.056,78</w:t>
            </w:r>
          </w:p>
        </w:tc>
        <w:tc>
          <w:tcPr>
            <w:tcW w:w="850" w:type="dxa"/>
            <w:tcBorders>
              <w:left w:val="single" w:sz="4" w:space="0" w:color="000000"/>
              <w:right w:val="single" w:sz="4" w:space="0" w:color="000000"/>
            </w:tcBorders>
          </w:tcPr>
          <w:p>
            <w:pPr>
              <w:pStyle w:val="TableParagraph"/>
              <w:spacing w:line="229" w:lineRule="exact"/>
              <w:ind w:left="0" w:right="96"/>
              <w:jc w:val="right"/>
              <w:rPr>
                <w:sz w:val="22"/>
              </w:rPr>
            </w:pPr>
            <w:r>
              <w:rPr>
                <w:sz w:val="22"/>
              </w:rPr>
              <w:t>0</w:t>
            </w:r>
          </w:p>
        </w:tc>
        <w:tc>
          <w:tcPr>
            <w:tcW w:w="1416" w:type="dxa"/>
            <w:tcBorders>
              <w:left w:val="single" w:sz="4" w:space="0" w:color="000000"/>
              <w:right w:val="single" w:sz="4" w:space="0" w:color="000000"/>
            </w:tcBorders>
          </w:tcPr>
          <w:p>
            <w:pPr>
              <w:pStyle w:val="TableParagraph"/>
              <w:spacing w:line="229" w:lineRule="exact"/>
              <w:ind w:left="152"/>
              <w:rPr>
                <w:sz w:val="22"/>
              </w:rPr>
            </w:pPr>
            <w:r>
              <w:rPr>
                <w:sz w:val="22"/>
              </w:rPr>
              <w:t>1.533.655,21</w:t>
            </w:r>
          </w:p>
        </w:tc>
        <w:tc>
          <w:tcPr>
            <w:tcW w:w="468" w:type="dxa"/>
            <w:tcBorders>
              <w:left w:val="single" w:sz="4" w:space="0" w:color="000000"/>
              <w:right w:val="single" w:sz="4" w:space="0" w:color="000000"/>
            </w:tcBorders>
          </w:tcPr>
          <w:p>
            <w:pPr>
              <w:pStyle w:val="TableParagraph"/>
              <w:spacing w:line="229" w:lineRule="exact"/>
              <w:ind w:left="252"/>
              <w:rPr>
                <w:sz w:val="22"/>
              </w:rPr>
            </w:pPr>
            <w:r>
              <w:rPr>
                <w:sz w:val="22"/>
              </w:rPr>
              <w:t>0</w:t>
            </w:r>
          </w:p>
        </w:tc>
        <w:tc>
          <w:tcPr>
            <w:tcW w:w="946" w:type="dxa"/>
            <w:tcBorders>
              <w:left w:val="single" w:sz="4" w:space="0" w:color="000000"/>
              <w:right w:val="single" w:sz="4" w:space="0" w:color="000000"/>
            </w:tcBorders>
          </w:tcPr>
          <w:p>
            <w:pPr>
              <w:pStyle w:val="TableParagraph"/>
              <w:spacing w:line="229" w:lineRule="exact"/>
              <w:ind w:left="0" w:right="94"/>
              <w:jc w:val="right"/>
              <w:rPr>
                <w:sz w:val="22"/>
              </w:rPr>
            </w:pPr>
            <w:r>
              <w:rPr>
                <w:sz w:val="22"/>
              </w:rPr>
              <w:t>0</w:t>
            </w:r>
          </w:p>
        </w:tc>
        <w:tc>
          <w:tcPr>
            <w:tcW w:w="850" w:type="dxa"/>
            <w:tcBorders>
              <w:left w:val="single" w:sz="4" w:space="0" w:color="000000"/>
              <w:right w:val="single" w:sz="4" w:space="0" w:color="000000"/>
            </w:tcBorders>
          </w:tcPr>
          <w:p>
            <w:pPr>
              <w:pStyle w:val="TableParagraph"/>
              <w:spacing w:line="229" w:lineRule="exact"/>
              <w:ind w:left="0" w:right="96"/>
              <w:jc w:val="right"/>
              <w:rPr>
                <w:sz w:val="22"/>
              </w:rPr>
            </w:pPr>
            <w:r>
              <w:rPr>
                <w:sz w:val="22"/>
              </w:rPr>
              <w:t>0</w:t>
            </w:r>
          </w:p>
        </w:tc>
        <w:tc>
          <w:tcPr>
            <w:tcW w:w="1556" w:type="dxa"/>
            <w:tcBorders>
              <w:left w:val="single" w:sz="4" w:space="0" w:color="000000"/>
              <w:right w:val="single" w:sz="4" w:space="0" w:color="000000"/>
            </w:tcBorders>
          </w:tcPr>
          <w:p>
            <w:pPr>
              <w:pStyle w:val="TableParagraph"/>
              <w:spacing w:line="229" w:lineRule="exact"/>
              <w:ind w:left="98"/>
              <w:rPr>
                <w:sz w:val="22"/>
              </w:rPr>
            </w:pPr>
            <w:r>
              <w:rPr>
                <w:sz w:val="22"/>
              </w:rPr>
              <w:t>972.341,45</w:t>
            </w:r>
          </w:p>
        </w:tc>
        <w:tc>
          <w:tcPr>
            <w:tcW w:w="1590" w:type="dxa"/>
            <w:tcBorders>
              <w:left w:val="single" w:sz="4" w:space="0" w:color="000000"/>
              <w:right w:val="single" w:sz="4" w:space="0" w:color="000000"/>
            </w:tcBorders>
          </w:tcPr>
          <w:p>
            <w:pPr>
              <w:pStyle w:val="TableParagraph"/>
              <w:spacing w:line="229" w:lineRule="exact"/>
              <w:ind w:left="98"/>
              <w:rPr>
                <w:sz w:val="22"/>
              </w:rPr>
            </w:pPr>
            <w:r>
              <w:rPr>
                <w:sz w:val="22"/>
              </w:rPr>
              <w:t>2.505.996,66</w:t>
            </w:r>
          </w:p>
        </w:tc>
      </w:tr>
    </w:tbl>
    <w:p>
      <w:pPr>
        <w:pStyle w:val="BodyText"/>
        <w:spacing w:before="7"/>
        <w:rPr>
          <w:sz w:val="23"/>
        </w:rPr>
      </w:pPr>
    </w:p>
    <w:p>
      <w:pPr>
        <w:pStyle w:val="BodyText"/>
        <w:ind w:left="1363"/>
      </w:pPr>
      <w:r>
        <w:rPr/>
        <w:drawing>
          <wp:anchor distT="0" distB="0" distL="0" distR="0" allowOverlap="1" layoutInCell="1" locked="0" behindDoc="1" simplePos="0" relativeHeight="268413215">
            <wp:simplePos x="0" y="0"/>
            <wp:positionH relativeFrom="page">
              <wp:posOffset>6871850</wp:posOffset>
            </wp:positionH>
            <wp:positionV relativeFrom="paragraph">
              <wp:posOffset>1993513</wp:posOffset>
            </wp:positionV>
            <wp:extent cx="353306" cy="3911600"/>
            <wp:effectExtent l="0" t="0" r="0" b="0"/>
            <wp:wrapNone/>
            <wp:docPr id="15" name="image4.png" descr=""/>
            <wp:cNvGraphicFramePr>
              <a:graphicFrameLocks noChangeAspect="1"/>
            </wp:cNvGraphicFramePr>
            <a:graphic>
              <a:graphicData uri="http://schemas.openxmlformats.org/drawingml/2006/picture">
                <pic:pic>
                  <pic:nvPicPr>
                    <pic:cNvPr id="16" name="image4.png"/>
                    <pic:cNvPicPr/>
                  </pic:nvPicPr>
                  <pic:blipFill>
                    <a:blip r:embed="rId10" cstate="print"/>
                    <a:stretch>
                      <a:fillRect/>
                    </a:stretch>
                  </pic:blipFill>
                  <pic:spPr>
                    <a:xfrm>
                      <a:off x="0" y="0"/>
                      <a:ext cx="353306" cy="3911600"/>
                    </a:xfrm>
                    <a:prstGeom prst="rect">
                      <a:avLst/>
                    </a:prstGeom>
                  </pic:spPr>
                </pic:pic>
              </a:graphicData>
            </a:graphic>
          </wp:anchor>
        </w:drawing>
      </w:r>
      <w:r>
        <w:rPr/>
        <w:pict>
          <v:shape style="position:absolute;margin-left:567.568359pt;margin-top:194.267761pt;width:14.75pt;height:272.75pt;mso-position-horizontal-relative:page;mso-position-vertical-relative:paragraph;z-index:1720"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6 de 11</w:t>
                  </w:r>
                </w:p>
              </w:txbxContent>
            </v:textbox>
            <w10:wrap type="none"/>
          </v:shape>
        </w:pict>
      </w:r>
      <w:r>
        <w:rPr/>
        <w:t>Os ingresos correntes a considerar na estimación do nivel de débeda previsto son os seguintes:</w:t>
      </w:r>
    </w:p>
    <w:p>
      <w:pPr>
        <w:pStyle w:val="BodyText"/>
        <w:spacing w:before="2"/>
      </w:pPr>
    </w:p>
    <w:tbl>
      <w:tblPr>
        <w:tblW w:w="0" w:type="auto"/>
        <w:jc w:val="left"/>
        <w:tblInd w:w="4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024"/>
        <w:gridCol w:w="2072"/>
      </w:tblGrid>
      <w:tr>
        <w:trPr>
          <w:trHeight w:val="247" w:hRule="atLeast"/>
        </w:trPr>
        <w:tc>
          <w:tcPr>
            <w:tcW w:w="8024" w:type="dxa"/>
            <w:tcBorders>
              <w:left w:val="single" w:sz="4" w:space="0" w:color="000000"/>
              <w:right w:val="single" w:sz="4" w:space="0" w:color="000000"/>
            </w:tcBorders>
          </w:tcPr>
          <w:p>
            <w:pPr>
              <w:pStyle w:val="TableParagraph"/>
              <w:spacing w:line="227" w:lineRule="exact"/>
              <w:rPr>
                <w:b/>
                <w:sz w:val="22"/>
              </w:rPr>
            </w:pPr>
            <w:r>
              <w:rPr>
                <w:b/>
                <w:sz w:val="22"/>
              </w:rPr>
              <w:t>CONCEPTO</w:t>
            </w:r>
          </w:p>
        </w:tc>
        <w:tc>
          <w:tcPr>
            <w:tcW w:w="2072" w:type="dxa"/>
            <w:tcBorders>
              <w:left w:val="single" w:sz="4" w:space="0" w:color="000000"/>
              <w:right w:val="single" w:sz="4" w:space="0" w:color="000000"/>
            </w:tcBorders>
          </w:tcPr>
          <w:p>
            <w:pPr>
              <w:pStyle w:val="TableParagraph"/>
              <w:spacing w:line="227" w:lineRule="exact"/>
              <w:rPr>
                <w:b/>
                <w:sz w:val="22"/>
              </w:rPr>
            </w:pPr>
            <w:r>
              <w:rPr>
                <w:b/>
                <w:sz w:val="22"/>
              </w:rPr>
              <w:t>IMPORTE</w:t>
            </w:r>
          </w:p>
        </w:tc>
      </w:tr>
      <w:tr>
        <w:trPr>
          <w:trHeight w:val="848" w:hRule="atLeast"/>
        </w:trPr>
        <w:tc>
          <w:tcPr>
            <w:tcW w:w="8024" w:type="dxa"/>
            <w:tcBorders>
              <w:left w:val="single" w:sz="4" w:space="0" w:color="000000"/>
              <w:right w:val="single" w:sz="4" w:space="0" w:color="000000"/>
            </w:tcBorders>
          </w:tcPr>
          <w:p>
            <w:pPr>
              <w:pStyle w:val="TableParagraph"/>
              <w:ind w:left="0"/>
              <w:rPr>
                <w:sz w:val="24"/>
              </w:rPr>
            </w:pPr>
          </w:p>
          <w:p>
            <w:pPr>
              <w:pStyle w:val="TableParagraph"/>
              <w:spacing w:before="171"/>
              <w:rPr>
                <w:sz w:val="22"/>
              </w:rPr>
            </w:pPr>
            <w:r>
              <w:rPr>
                <w:sz w:val="22"/>
              </w:rPr>
              <w:t>(+)Suma dos ingresos previstos nos capítulos 1 a 5 do Orzamento</w:t>
            </w:r>
          </w:p>
        </w:tc>
        <w:tc>
          <w:tcPr>
            <w:tcW w:w="2072" w:type="dxa"/>
            <w:tcBorders>
              <w:left w:val="single" w:sz="4" w:space="0" w:color="000000"/>
              <w:right w:val="single" w:sz="4" w:space="0" w:color="000000"/>
            </w:tcBorders>
          </w:tcPr>
          <w:p>
            <w:pPr>
              <w:pStyle w:val="TableParagraph"/>
              <w:spacing w:before="7"/>
              <w:ind w:left="0"/>
              <w:rPr>
                <w:sz w:val="21"/>
              </w:rPr>
            </w:pPr>
          </w:p>
          <w:p>
            <w:pPr>
              <w:pStyle w:val="TableParagraph"/>
              <w:ind w:left="0" w:right="451"/>
              <w:jc w:val="right"/>
              <w:rPr>
                <w:sz w:val="22"/>
              </w:rPr>
            </w:pPr>
            <w:r>
              <w:rPr>
                <w:sz w:val="22"/>
              </w:rPr>
              <w:t>6.424.056,78</w:t>
            </w:r>
          </w:p>
        </w:tc>
      </w:tr>
      <w:tr>
        <w:trPr>
          <w:trHeight w:val="937" w:hRule="atLeast"/>
        </w:trPr>
        <w:tc>
          <w:tcPr>
            <w:tcW w:w="8024" w:type="dxa"/>
            <w:tcBorders>
              <w:left w:val="single" w:sz="4" w:space="0" w:color="000000"/>
              <w:right w:val="single" w:sz="4" w:space="0" w:color="000000"/>
            </w:tcBorders>
          </w:tcPr>
          <w:p>
            <w:pPr>
              <w:pStyle w:val="TableParagraph"/>
              <w:ind w:right="128"/>
              <w:rPr>
                <w:sz w:val="22"/>
              </w:rPr>
            </w:pPr>
            <w:r>
              <w:rPr>
                <w:sz w:val="22"/>
              </w:rPr>
              <w:t>(-)Ingresos por multas coercitivas, ou derivados de convenios urbanísticos de planeamento, ou calquera outros que expresamente fosen declarados como integrantes do patrimonio público del chan.</w:t>
            </w:r>
          </w:p>
        </w:tc>
        <w:tc>
          <w:tcPr>
            <w:tcW w:w="2072" w:type="dxa"/>
            <w:tcBorders>
              <w:left w:val="single" w:sz="4" w:space="0" w:color="000000"/>
              <w:right w:val="single" w:sz="4" w:space="0" w:color="000000"/>
            </w:tcBorders>
          </w:tcPr>
          <w:p>
            <w:pPr>
              <w:pStyle w:val="TableParagraph"/>
              <w:spacing w:line="248" w:lineRule="exact"/>
              <w:ind w:left="818" w:right="818"/>
              <w:jc w:val="center"/>
              <w:rPr>
                <w:sz w:val="22"/>
              </w:rPr>
            </w:pPr>
            <w:r>
              <w:rPr>
                <w:sz w:val="22"/>
              </w:rPr>
              <w:t>0,00</w:t>
            </w:r>
          </w:p>
        </w:tc>
      </w:tr>
      <w:tr>
        <w:trPr>
          <w:trHeight w:val="500" w:hRule="atLeast"/>
        </w:trPr>
        <w:tc>
          <w:tcPr>
            <w:tcW w:w="8024" w:type="dxa"/>
            <w:tcBorders>
              <w:left w:val="single" w:sz="4" w:space="0" w:color="000000"/>
              <w:right w:val="single" w:sz="4" w:space="0" w:color="000000"/>
            </w:tcBorders>
          </w:tcPr>
          <w:p>
            <w:pPr>
              <w:pStyle w:val="TableParagraph"/>
              <w:spacing w:line="248" w:lineRule="exact"/>
              <w:rPr>
                <w:sz w:val="22"/>
              </w:rPr>
            </w:pPr>
            <w:r>
              <w:rPr>
                <w:sz w:val="22"/>
              </w:rPr>
              <w:t>(-)Ingresos por actuacións de urbanización, tales como o canon de urbanización, cuotas</w:t>
            </w:r>
          </w:p>
          <w:p>
            <w:pPr>
              <w:pStyle w:val="TableParagraph"/>
              <w:spacing w:line="232" w:lineRule="exact" w:before="1"/>
              <w:rPr>
                <w:sz w:val="22"/>
              </w:rPr>
            </w:pPr>
            <w:r>
              <w:rPr>
                <w:sz w:val="22"/>
              </w:rPr>
              <w:t>de urbanización, o calquera outros de este carácter</w:t>
            </w:r>
          </w:p>
        </w:tc>
        <w:tc>
          <w:tcPr>
            <w:tcW w:w="2072" w:type="dxa"/>
            <w:tcBorders>
              <w:left w:val="single" w:sz="4" w:space="0" w:color="000000"/>
              <w:right w:val="single" w:sz="4" w:space="0" w:color="000000"/>
            </w:tcBorders>
          </w:tcPr>
          <w:p>
            <w:pPr>
              <w:pStyle w:val="TableParagraph"/>
              <w:spacing w:line="248" w:lineRule="exact"/>
              <w:ind w:left="818" w:right="818"/>
              <w:jc w:val="center"/>
              <w:rPr>
                <w:sz w:val="22"/>
              </w:rPr>
            </w:pPr>
            <w:r>
              <w:rPr>
                <w:sz w:val="22"/>
              </w:rPr>
              <w:t>0,00</w:t>
            </w:r>
          </w:p>
        </w:tc>
      </w:tr>
      <w:tr>
        <w:trPr>
          <w:trHeight w:val="501" w:hRule="atLeast"/>
        </w:trPr>
        <w:tc>
          <w:tcPr>
            <w:tcW w:w="8024" w:type="dxa"/>
            <w:tcBorders>
              <w:left w:val="single" w:sz="4" w:space="0" w:color="000000"/>
              <w:right w:val="single" w:sz="4" w:space="0" w:color="000000"/>
            </w:tcBorders>
          </w:tcPr>
          <w:p>
            <w:pPr>
              <w:pStyle w:val="TableParagraph"/>
              <w:spacing w:line="248" w:lineRule="exact"/>
              <w:rPr>
                <w:sz w:val="22"/>
              </w:rPr>
            </w:pPr>
            <w:r>
              <w:rPr>
                <w:sz w:val="22"/>
              </w:rPr>
              <w:t>(-)Aproveitamentos urbanísticos, e outros ingresos por aproveitamentos edificatorios</w:t>
            </w:r>
          </w:p>
          <w:p>
            <w:pPr>
              <w:pStyle w:val="TableParagraph"/>
              <w:spacing w:line="232" w:lineRule="exact" w:before="1"/>
              <w:rPr>
                <w:sz w:val="22"/>
              </w:rPr>
            </w:pPr>
            <w:r>
              <w:rPr>
                <w:sz w:val="22"/>
              </w:rPr>
              <w:t>distintos dos anteriores</w:t>
            </w:r>
          </w:p>
        </w:tc>
        <w:tc>
          <w:tcPr>
            <w:tcW w:w="2072" w:type="dxa"/>
            <w:tcBorders>
              <w:left w:val="single" w:sz="4" w:space="0" w:color="000000"/>
              <w:right w:val="single" w:sz="4" w:space="0" w:color="000000"/>
            </w:tcBorders>
          </w:tcPr>
          <w:p>
            <w:pPr>
              <w:pStyle w:val="TableParagraph"/>
              <w:spacing w:line="248" w:lineRule="exact"/>
              <w:ind w:left="818" w:right="818"/>
              <w:jc w:val="center"/>
              <w:rPr>
                <w:sz w:val="22"/>
              </w:rPr>
            </w:pPr>
            <w:r>
              <w:rPr>
                <w:sz w:val="22"/>
              </w:rPr>
              <w:t>0,00</w:t>
            </w:r>
          </w:p>
        </w:tc>
      </w:tr>
      <w:tr>
        <w:trPr>
          <w:trHeight w:val="501" w:hRule="atLeast"/>
        </w:trPr>
        <w:tc>
          <w:tcPr>
            <w:tcW w:w="8024" w:type="dxa"/>
            <w:tcBorders>
              <w:left w:val="single" w:sz="4" w:space="0" w:color="000000"/>
              <w:right w:val="single" w:sz="4" w:space="0" w:color="000000"/>
            </w:tcBorders>
          </w:tcPr>
          <w:p>
            <w:pPr>
              <w:pStyle w:val="TableParagraph"/>
              <w:spacing w:line="248" w:lineRule="exact"/>
              <w:rPr>
                <w:sz w:val="22"/>
              </w:rPr>
            </w:pPr>
            <w:r>
              <w:rPr>
                <w:sz w:val="22"/>
              </w:rPr>
              <w:t>(-)Ingresos por multas impostas por infraccións urbanísticas, expresamente afectados a</w:t>
            </w:r>
          </w:p>
          <w:p>
            <w:pPr>
              <w:pStyle w:val="TableParagraph"/>
              <w:spacing w:line="232" w:lineRule="exact" w:before="1"/>
              <w:rPr>
                <w:sz w:val="22"/>
              </w:rPr>
            </w:pPr>
            <w:r>
              <w:rPr>
                <w:sz w:val="22"/>
              </w:rPr>
              <w:t>operacións de igual carácter, que non se integrasen no patrimonio público do solo.</w:t>
            </w:r>
          </w:p>
        </w:tc>
        <w:tc>
          <w:tcPr>
            <w:tcW w:w="2072" w:type="dxa"/>
            <w:tcBorders>
              <w:left w:val="single" w:sz="4" w:space="0" w:color="000000"/>
              <w:right w:val="single" w:sz="4" w:space="0" w:color="000000"/>
            </w:tcBorders>
          </w:tcPr>
          <w:p>
            <w:pPr>
              <w:pStyle w:val="TableParagraph"/>
              <w:spacing w:line="248" w:lineRule="exact"/>
              <w:ind w:left="818" w:right="818"/>
              <w:jc w:val="center"/>
              <w:rPr>
                <w:sz w:val="22"/>
              </w:rPr>
            </w:pPr>
            <w:r>
              <w:rPr>
                <w:sz w:val="22"/>
              </w:rPr>
              <w:t>0,00</w:t>
            </w:r>
          </w:p>
        </w:tc>
      </w:tr>
      <w:tr>
        <w:trPr>
          <w:trHeight w:val="247" w:hRule="atLeast"/>
        </w:trPr>
        <w:tc>
          <w:tcPr>
            <w:tcW w:w="8024" w:type="dxa"/>
            <w:tcBorders>
              <w:left w:val="single" w:sz="4" w:space="0" w:color="000000"/>
              <w:right w:val="single" w:sz="4" w:space="0" w:color="000000"/>
            </w:tcBorders>
          </w:tcPr>
          <w:p>
            <w:pPr>
              <w:pStyle w:val="TableParagraph"/>
              <w:spacing w:line="227" w:lineRule="exact"/>
              <w:rPr>
                <w:sz w:val="22"/>
              </w:rPr>
            </w:pPr>
            <w:r>
              <w:rPr>
                <w:sz w:val="22"/>
              </w:rPr>
              <w:t>(-) Contribucións especiais afectadas a operacións de capital</w:t>
            </w:r>
          </w:p>
        </w:tc>
        <w:tc>
          <w:tcPr>
            <w:tcW w:w="2072" w:type="dxa"/>
            <w:tcBorders>
              <w:left w:val="single" w:sz="4" w:space="0" w:color="000000"/>
              <w:right w:val="single" w:sz="4" w:space="0" w:color="000000"/>
            </w:tcBorders>
          </w:tcPr>
          <w:p>
            <w:pPr>
              <w:pStyle w:val="TableParagraph"/>
              <w:spacing w:line="227" w:lineRule="exact"/>
              <w:ind w:left="818" w:right="818"/>
              <w:jc w:val="center"/>
              <w:rPr>
                <w:sz w:val="22"/>
              </w:rPr>
            </w:pPr>
            <w:r>
              <w:rPr>
                <w:sz w:val="22"/>
              </w:rPr>
              <w:t>0,00</w:t>
            </w:r>
          </w:p>
        </w:tc>
      </w:tr>
      <w:tr>
        <w:trPr>
          <w:trHeight w:val="1006" w:hRule="atLeast"/>
        </w:trPr>
        <w:tc>
          <w:tcPr>
            <w:tcW w:w="8024" w:type="dxa"/>
            <w:tcBorders>
              <w:left w:val="single" w:sz="4" w:space="0" w:color="000000"/>
              <w:right w:val="single" w:sz="4" w:space="0" w:color="000000"/>
            </w:tcBorders>
          </w:tcPr>
          <w:p>
            <w:pPr>
              <w:pStyle w:val="TableParagraph"/>
              <w:ind w:right="128"/>
              <w:rPr>
                <w:sz w:val="22"/>
              </w:rPr>
            </w:pPr>
            <w:r>
              <w:rPr>
                <w:sz w:val="22"/>
              </w:rPr>
              <w:t>(-)Ingresos polo canon de mellora do servizo de auga ou canon de saneamento cando este afectado, pola normativa sectorial, ó financiamento de inversións de capital relacionadas co servizo prestado, tales como infraestruturas hidráulicas, ou redes de</w:t>
            </w:r>
          </w:p>
          <w:p>
            <w:pPr>
              <w:pStyle w:val="TableParagraph"/>
              <w:spacing w:line="231" w:lineRule="exact"/>
              <w:rPr>
                <w:sz w:val="22"/>
              </w:rPr>
            </w:pPr>
            <w:r>
              <w:rPr>
                <w:sz w:val="22"/>
              </w:rPr>
              <w:t>saneamento e depuración, entre outras.</w:t>
            </w:r>
          </w:p>
        </w:tc>
        <w:tc>
          <w:tcPr>
            <w:tcW w:w="2072" w:type="dxa"/>
            <w:tcBorders>
              <w:left w:val="single" w:sz="4" w:space="0" w:color="000000"/>
              <w:right w:val="single" w:sz="4" w:space="0" w:color="000000"/>
            </w:tcBorders>
          </w:tcPr>
          <w:p>
            <w:pPr>
              <w:pStyle w:val="TableParagraph"/>
              <w:spacing w:line="250" w:lineRule="exact"/>
              <w:ind w:left="818" w:right="818"/>
              <w:jc w:val="center"/>
              <w:rPr>
                <w:sz w:val="22"/>
              </w:rPr>
            </w:pPr>
            <w:r>
              <w:rPr>
                <w:sz w:val="22"/>
              </w:rPr>
              <w:t>0,00</w:t>
            </w:r>
          </w:p>
        </w:tc>
      </w:tr>
      <w:tr>
        <w:trPr>
          <w:trHeight w:val="1007" w:hRule="atLeast"/>
        </w:trPr>
        <w:tc>
          <w:tcPr>
            <w:tcW w:w="8024" w:type="dxa"/>
            <w:tcBorders>
              <w:left w:val="single" w:sz="4" w:space="0" w:color="000000"/>
              <w:right w:val="single" w:sz="4" w:space="0" w:color="000000"/>
            </w:tcBorders>
          </w:tcPr>
          <w:p>
            <w:pPr>
              <w:pStyle w:val="TableParagraph"/>
              <w:rPr>
                <w:sz w:val="22"/>
              </w:rPr>
            </w:pPr>
            <w:r>
              <w:rPr>
                <w:sz w:val="22"/>
              </w:rPr>
              <w:t>(-)Aproveitamentos agrícolas e forestais de carácter afectado; en particular el Fondo de Mellora de Montes cando estea afectado á realización de inversións, tales como a execución de melloras en montes de titularidade municipal, ou a realización de melloras</w:t>
            </w:r>
          </w:p>
          <w:p>
            <w:pPr>
              <w:pStyle w:val="TableParagraph"/>
              <w:spacing w:line="231" w:lineRule="exact"/>
              <w:rPr>
                <w:sz w:val="22"/>
              </w:rPr>
            </w:pPr>
            <w:r>
              <w:rPr>
                <w:sz w:val="22"/>
              </w:rPr>
              <w:t>de interese forestal xeneral da provincia.</w:t>
            </w:r>
          </w:p>
        </w:tc>
        <w:tc>
          <w:tcPr>
            <w:tcW w:w="2072" w:type="dxa"/>
            <w:tcBorders>
              <w:left w:val="single" w:sz="4" w:space="0" w:color="000000"/>
              <w:right w:val="single" w:sz="4" w:space="0" w:color="000000"/>
            </w:tcBorders>
          </w:tcPr>
          <w:p>
            <w:pPr>
              <w:pStyle w:val="TableParagraph"/>
              <w:spacing w:line="250" w:lineRule="exact"/>
              <w:ind w:left="818" w:right="818"/>
              <w:jc w:val="center"/>
              <w:rPr>
                <w:sz w:val="22"/>
              </w:rPr>
            </w:pPr>
            <w:r>
              <w:rPr>
                <w:sz w:val="22"/>
              </w:rPr>
              <w:t>0,00</w:t>
            </w:r>
          </w:p>
        </w:tc>
      </w:tr>
      <w:tr>
        <w:trPr>
          <w:trHeight w:val="500" w:hRule="atLeast"/>
        </w:trPr>
        <w:tc>
          <w:tcPr>
            <w:tcW w:w="8024" w:type="dxa"/>
            <w:tcBorders>
              <w:left w:val="single" w:sz="4" w:space="0" w:color="000000"/>
              <w:right w:val="single" w:sz="4" w:space="0" w:color="000000"/>
            </w:tcBorders>
          </w:tcPr>
          <w:p>
            <w:pPr>
              <w:pStyle w:val="TableParagraph"/>
              <w:spacing w:line="252" w:lineRule="exact" w:before="1"/>
              <w:rPr>
                <w:sz w:val="22"/>
              </w:rPr>
            </w:pPr>
            <w:r>
              <w:rPr>
                <w:sz w:val="22"/>
              </w:rPr>
              <w:t>(-)Outras concesións e aproveitamentos, afectados pola normativa aplicable á financiamento de operacións de capital.</w:t>
            </w:r>
          </w:p>
        </w:tc>
        <w:tc>
          <w:tcPr>
            <w:tcW w:w="2072" w:type="dxa"/>
            <w:tcBorders>
              <w:left w:val="single" w:sz="4" w:space="0" w:color="000000"/>
              <w:right w:val="single" w:sz="4" w:space="0" w:color="000000"/>
            </w:tcBorders>
          </w:tcPr>
          <w:p>
            <w:pPr>
              <w:pStyle w:val="TableParagraph"/>
              <w:spacing w:line="250" w:lineRule="exact"/>
              <w:ind w:left="818" w:right="818"/>
              <w:jc w:val="center"/>
              <w:rPr>
                <w:sz w:val="22"/>
              </w:rPr>
            </w:pPr>
            <w:r>
              <w:rPr>
                <w:sz w:val="22"/>
              </w:rPr>
              <w:t>0,00</w:t>
            </w:r>
          </w:p>
        </w:tc>
      </w:tr>
      <w:tr>
        <w:trPr>
          <w:trHeight w:val="245" w:hRule="atLeast"/>
        </w:trPr>
        <w:tc>
          <w:tcPr>
            <w:tcW w:w="8024" w:type="dxa"/>
            <w:tcBorders>
              <w:left w:val="single" w:sz="4" w:space="0" w:color="000000"/>
              <w:right w:val="single" w:sz="4" w:space="0" w:color="000000"/>
            </w:tcBorders>
          </w:tcPr>
          <w:p>
            <w:pPr>
              <w:pStyle w:val="TableParagraph"/>
              <w:spacing w:line="225" w:lineRule="exact"/>
              <w:rPr>
                <w:sz w:val="22"/>
              </w:rPr>
            </w:pPr>
            <w:r>
              <w:rPr>
                <w:sz w:val="22"/>
              </w:rPr>
              <w:t>(-)Outros ingresos afectados a operacións de capital distintos dos anteriores.</w:t>
            </w:r>
          </w:p>
        </w:tc>
        <w:tc>
          <w:tcPr>
            <w:tcW w:w="2072" w:type="dxa"/>
            <w:tcBorders>
              <w:left w:val="single" w:sz="4" w:space="0" w:color="000000"/>
              <w:right w:val="single" w:sz="4" w:space="0" w:color="000000"/>
            </w:tcBorders>
          </w:tcPr>
          <w:p>
            <w:pPr>
              <w:pStyle w:val="TableParagraph"/>
              <w:spacing w:line="225" w:lineRule="exact"/>
              <w:ind w:left="818" w:right="818"/>
              <w:jc w:val="center"/>
              <w:rPr>
                <w:sz w:val="22"/>
              </w:rPr>
            </w:pPr>
            <w:r>
              <w:rPr>
                <w:sz w:val="22"/>
              </w:rPr>
              <w:t>0,00</w:t>
            </w:r>
          </w:p>
        </w:tc>
      </w:tr>
      <w:tr>
        <w:trPr>
          <w:trHeight w:val="246" w:hRule="atLeast"/>
        </w:trPr>
        <w:tc>
          <w:tcPr>
            <w:tcW w:w="8024" w:type="dxa"/>
            <w:tcBorders>
              <w:left w:val="single" w:sz="4" w:space="0" w:color="000000"/>
              <w:right w:val="single" w:sz="4" w:space="0" w:color="000000"/>
            </w:tcBorders>
          </w:tcPr>
          <w:p>
            <w:pPr>
              <w:pStyle w:val="TableParagraph"/>
              <w:spacing w:line="227" w:lineRule="exact"/>
              <w:rPr>
                <w:sz w:val="22"/>
              </w:rPr>
            </w:pPr>
            <w:r>
              <w:rPr>
                <w:sz w:val="22"/>
              </w:rPr>
              <w:t>(-)Outros ingresos incluídos nos Capítulos 1 a 5 do orzamento no consolidables a futuro.</w:t>
            </w:r>
          </w:p>
        </w:tc>
        <w:tc>
          <w:tcPr>
            <w:tcW w:w="2072" w:type="dxa"/>
            <w:tcBorders>
              <w:left w:val="single" w:sz="4" w:space="0" w:color="000000"/>
              <w:right w:val="single" w:sz="4" w:space="0" w:color="000000"/>
            </w:tcBorders>
          </w:tcPr>
          <w:p>
            <w:pPr>
              <w:pStyle w:val="TableParagraph"/>
              <w:spacing w:line="227" w:lineRule="exact"/>
              <w:ind w:left="818" w:right="818"/>
              <w:jc w:val="center"/>
              <w:rPr>
                <w:sz w:val="22"/>
              </w:rPr>
            </w:pPr>
            <w:r>
              <w:rPr>
                <w:sz w:val="22"/>
              </w:rPr>
              <w:t>0,00</w:t>
            </w:r>
          </w:p>
        </w:tc>
      </w:tr>
      <w:tr>
        <w:trPr>
          <w:trHeight w:val="248" w:hRule="atLeast"/>
        </w:trPr>
        <w:tc>
          <w:tcPr>
            <w:tcW w:w="8024" w:type="dxa"/>
            <w:tcBorders>
              <w:left w:val="single" w:sz="4" w:space="0" w:color="000000"/>
              <w:right w:val="single" w:sz="4" w:space="0" w:color="000000"/>
            </w:tcBorders>
          </w:tcPr>
          <w:p>
            <w:pPr>
              <w:pStyle w:val="TableParagraph"/>
              <w:spacing w:line="229" w:lineRule="exact"/>
              <w:ind w:left="4117"/>
              <w:rPr>
                <w:b/>
                <w:sz w:val="22"/>
              </w:rPr>
            </w:pPr>
            <w:r>
              <w:rPr>
                <w:b/>
                <w:sz w:val="22"/>
              </w:rPr>
              <w:t>Total de ingresos correntes a considerar:</w:t>
            </w:r>
          </w:p>
        </w:tc>
        <w:tc>
          <w:tcPr>
            <w:tcW w:w="2072" w:type="dxa"/>
            <w:tcBorders>
              <w:left w:val="single" w:sz="4" w:space="0" w:color="000000"/>
              <w:right w:val="single" w:sz="4" w:space="0" w:color="000000"/>
            </w:tcBorders>
          </w:tcPr>
          <w:p>
            <w:pPr>
              <w:pStyle w:val="TableParagraph"/>
              <w:spacing w:line="229" w:lineRule="exact"/>
              <w:ind w:left="0" w:right="453"/>
              <w:jc w:val="right"/>
              <w:rPr>
                <w:b/>
                <w:sz w:val="22"/>
              </w:rPr>
            </w:pPr>
            <w:r>
              <w:rPr>
                <w:b/>
                <w:sz w:val="22"/>
              </w:rPr>
              <w:t>6.424.056,78</w:t>
            </w:r>
          </w:p>
        </w:tc>
      </w:tr>
    </w:tbl>
    <w:p>
      <w:pPr>
        <w:pStyle w:val="BodyText"/>
        <w:spacing w:before="9"/>
        <w:rPr>
          <w:sz w:val="21"/>
        </w:rPr>
      </w:pPr>
    </w:p>
    <w:p>
      <w:pPr>
        <w:pStyle w:val="BodyText"/>
        <w:ind w:left="1619" w:right="1970"/>
        <w:jc w:val="center"/>
      </w:pPr>
      <w:r>
        <w:rPr/>
        <w:t>Así tendo en conta estes datos o nivel de débeda viva previsto a 31/12/2016 en relación ós</w:t>
      </w:r>
    </w:p>
    <w:p>
      <w:pPr>
        <w:pStyle w:val="BodyText"/>
        <w:rPr>
          <w:sz w:val="21"/>
        </w:rPr>
      </w:pPr>
      <w:r>
        <w:rPr/>
        <w:pict>
          <v:line style="position:absolute;mso-position-horizontal-relative:page;mso-position-vertical-relative:paragraph;z-index:1648;mso-wrap-distance-left:0;mso-wrap-distance-right:0" from="85.099998pt,14.2771pt" to="510.199998pt,14.2771pt" stroked="true" strokeweight=".5pt" strokecolor="#000000">
            <v:stroke dashstyle="solid"/>
            <w10:wrap type="topAndBottom"/>
          </v:line>
        </w:pict>
      </w:r>
    </w:p>
    <w:p>
      <w:pPr>
        <w:pStyle w:val="Heading4"/>
      </w:pPr>
      <w:r>
        <w:rPr/>
        <w:t>Concello de Ortigueira</w:t>
      </w:r>
    </w:p>
    <w:p>
      <w:pPr>
        <w:spacing w:before="121"/>
        <w:ind w:left="1619" w:right="1947" w:firstLine="0"/>
        <w:jc w:val="center"/>
        <w:rPr>
          <w:sz w:val="16"/>
        </w:rPr>
      </w:pPr>
      <w:r>
        <w:rPr>
          <w:sz w:val="16"/>
        </w:rPr>
        <w:t>Plaza de Isabel II, s/n, Ortigueira. 15330 A Coruña. Tfno. 981400000. Fax: 981402536</w:t>
      </w:r>
    </w:p>
    <w:p>
      <w:pPr>
        <w:spacing w:after="0"/>
        <w:jc w:val="center"/>
        <w:rPr>
          <w:sz w:val="16"/>
        </w:rPr>
        <w:sectPr>
          <w:pgSz w:w="11900" w:h="16840"/>
          <w:pgMar w:header="710" w:footer="0" w:top="2240" w:bottom="0" w:left="340" w:right="0"/>
        </w:sectPr>
      </w:pPr>
    </w:p>
    <w:p>
      <w:pPr>
        <w:pStyle w:val="BodyText"/>
        <w:rPr>
          <w:sz w:val="20"/>
        </w:rPr>
      </w:pPr>
    </w:p>
    <w:p>
      <w:pPr>
        <w:pStyle w:val="BodyText"/>
        <w:rPr>
          <w:sz w:val="20"/>
        </w:rPr>
      </w:pPr>
    </w:p>
    <w:p>
      <w:pPr>
        <w:pStyle w:val="BodyText"/>
        <w:spacing w:before="4"/>
        <w:rPr>
          <w:sz w:val="12"/>
        </w:rPr>
      </w:pPr>
    </w:p>
    <w:p>
      <w:pPr>
        <w:pStyle w:val="BodyText"/>
        <w:ind w:left="212"/>
        <w:rPr>
          <w:sz w:val="20"/>
        </w:rPr>
      </w:pPr>
      <w:r>
        <w:rPr>
          <w:sz w:val="20"/>
        </w:rPr>
        <w:drawing>
          <wp:inline distT="0" distB="0" distL="0" distR="0">
            <wp:extent cx="9791239" cy="5401056"/>
            <wp:effectExtent l="0" t="0" r="0" b="0"/>
            <wp:docPr id="17" name="image5.jpeg" descr=""/>
            <wp:cNvGraphicFramePr>
              <a:graphicFrameLocks noChangeAspect="1"/>
            </wp:cNvGraphicFramePr>
            <a:graphic>
              <a:graphicData uri="http://schemas.openxmlformats.org/drawingml/2006/picture">
                <pic:pic>
                  <pic:nvPicPr>
                    <pic:cNvPr id="18" name="image5.jpeg"/>
                    <pic:cNvPicPr/>
                  </pic:nvPicPr>
                  <pic:blipFill>
                    <a:blip r:embed="rId12" cstate="print"/>
                    <a:stretch>
                      <a:fillRect/>
                    </a:stretch>
                  </pic:blipFill>
                  <pic:spPr>
                    <a:xfrm>
                      <a:off x="0" y="0"/>
                      <a:ext cx="9791239" cy="5401056"/>
                    </a:xfrm>
                    <a:prstGeom prst="rect">
                      <a:avLst/>
                    </a:prstGeom>
                  </pic:spPr>
                </pic:pic>
              </a:graphicData>
            </a:graphic>
          </wp:inline>
        </w:drawing>
      </w:r>
      <w:r>
        <w:rPr>
          <w:sz w:val="20"/>
        </w:rPr>
      </w:r>
    </w:p>
    <w:p>
      <w:pPr>
        <w:pStyle w:val="BodyText"/>
        <w:rPr>
          <w:sz w:val="20"/>
        </w:rPr>
      </w:pPr>
    </w:p>
    <w:p>
      <w:pPr>
        <w:pStyle w:val="BodyText"/>
        <w:spacing w:before="6"/>
        <w:rPr>
          <w:sz w:val="17"/>
        </w:rPr>
      </w:pPr>
    </w:p>
    <w:p>
      <w:pPr>
        <w:spacing w:after="0"/>
        <w:rPr>
          <w:sz w:val="17"/>
        </w:rPr>
        <w:sectPr>
          <w:headerReference w:type="default" r:id="rId11"/>
          <w:pgSz w:w="16840" w:h="11900" w:orient="landscape"/>
          <w:pgMar w:header="0" w:footer="0" w:top="1100" w:bottom="0" w:left="500" w:right="600"/>
        </w:sectPr>
      </w:pPr>
    </w:p>
    <w:p>
      <w:pPr>
        <w:pStyle w:val="BodyText"/>
        <w:spacing w:before="9" w:after="1"/>
        <w:rPr>
          <w:sz w:val="15"/>
        </w:rPr>
      </w:pPr>
    </w:p>
    <w:p>
      <w:pPr>
        <w:pStyle w:val="BodyText"/>
        <w:ind w:left="120"/>
        <w:rPr>
          <w:sz w:val="20"/>
        </w:rPr>
      </w:pPr>
      <w:r>
        <w:rPr>
          <w:sz w:val="20"/>
        </w:rPr>
        <w:drawing>
          <wp:inline distT="0" distB="0" distL="0" distR="0">
            <wp:extent cx="3897623" cy="326898"/>
            <wp:effectExtent l="0" t="0" r="0" b="0"/>
            <wp:docPr id="19" name="image6.png" descr=""/>
            <wp:cNvGraphicFramePr>
              <a:graphicFrameLocks noChangeAspect="1"/>
            </wp:cNvGraphicFramePr>
            <a:graphic>
              <a:graphicData uri="http://schemas.openxmlformats.org/drawingml/2006/picture">
                <pic:pic>
                  <pic:nvPicPr>
                    <pic:cNvPr id="20" name="image6.png"/>
                    <pic:cNvPicPr/>
                  </pic:nvPicPr>
                  <pic:blipFill>
                    <a:blip r:embed="rId13" cstate="print"/>
                    <a:stretch>
                      <a:fillRect/>
                    </a:stretch>
                  </pic:blipFill>
                  <pic:spPr>
                    <a:xfrm>
                      <a:off x="0" y="0"/>
                      <a:ext cx="3897623" cy="326898"/>
                    </a:xfrm>
                    <a:prstGeom prst="rect">
                      <a:avLst/>
                    </a:prstGeom>
                  </pic:spPr>
                </pic:pic>
              </a:graphicData>
            </a:graphic>
          </wp:inline>
        </w:drawing>
      </w:r>
      <w:r>
        <w:rPr>
          <w:sz w:val="20"/>
        </w:rPr>
      </w:r>
    </w:p>
    <w:p>
      <w:pPr>
        <w:spacing w:line="208" w:lineRule="auto" w:before="45"/>
        <w:ind w:left="100" w:right="193"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7 de 11</w:t>
      </w:r>
    </w:p>
    <w:p>
      <w:pPr>
        <w:pStyle w:val="Heading1"/>
        <w:spacing w:before="100"/>
        <w:ind w:left="100"/>
      </w:pPr>
      <w:r>
        <w:rPr/>
        <w:br w:type="column"/>
      </w:r>
      <w:r>
        <w:rPr/>
        <w:t>INFORMES DE INTERVENCION</w:t>
      </w:r>
    </w:p>
    <w:p>
      <w:pPr>
        <w:spacing w:line="200" w:lineRule="exact" w:before="0"/>
        <w:ind w:left="120" w:right="0" w:firstLine="0"/>
        <w:jc w:val="left"/>
        <w:rPr>
          <w:rFonts w:ascii="Tahoma" w:hAnsi="Tahoma"/>
          <w:sz w:val="18"/>
        </w:rPr>
      </w:pPr>
      <w:r>
        <w:rPr>
          <w:rFonts w:ascii="Tahoma" w:hAnsi="Tahoma"/>
          <w:sz w:val="18"/>
        </w:rPr>
        <w:t>Número: 2017-0003 Fecha: 16/01/2017</w:t>
      </w:r>
    </w:p>
    <w:p>
      <w:pPr>
        <w:spacing w:after="0" w:line="200" w:lineRule="exact"/>
        <w:jc w:val="left"/>
        <w:rPr>
          <w:rFonts w:ascii="Tahoma" w:hAnsi="Tahoma"/>
          <w:sz w:val="18"/>
        </w:rPr>
        <w:sectPr>
          <w:type w:val="continuous"/>
          <w:pgSz w:w="16840" w:h="11900" w:orient="landscape"/>
          <w:pgMar w:top="2120" w:bottom="0" w:left="500" w:right="600"/>
          <w:cols w:num="2" w:equalWidth="0">
            <w:col w:w="6321" w:space="79"/>
            <w:col w:w="9340"/>
          </w:cols>
        </w:sectPr>
      </w:pPr>
    </w:p>
    <w:p>
      <w:pPr>
        <w:pStyle w:val="BodyText"/>
        <w:spacing w:before="5"/>
        <w:rPr>
          <w:rFonts w:ascii="Tahoma"/>
          <w:sz w:val="9"/>
        </w:rPr>
      </w:pPr>
    </w:p>
    <w:p>
      <w:pPr>
        <w:pStyle w:val="BodyText"/>
        <w:spacing w:before="91"/>
        <w:ind w:left="1244"/>
      </w:pPr>
      <w:r>
        <w:rPr/>
        <w:t>correspondentes axustes no orzamento que debe reflexar a realidade subvencional.</w:t>
      </w:r>
    </w:p>
    <w:p>
      <w:pPr>
        <w:pStyle w:val="BodyText"/>
      </w:pPr>
    </w:p>
    <w:p>
      <w:pPr>
        <w:pStyle w:val="BodyText"/>
        <w:ind w:left="1243" w:right="1705"/>
      </w:pPr>
      <w:r>
        <w:rPr/>
        <w:t>Esta funcionaria recorda nembargantes que en tanto non se aprobe a subvención pola Deputación non se pode predicar destes recursos a súa</w:t>
      </w:r>
      <w:r>
        <w:rPr>
          <w:spacing w:val="-7"/>
        </w:rPr>
        <w:t> </w:t>
      </w:r>
      <w:r>
        <w:rPr/>
        <w:t>executividade.</w:t>
      </w:r>
    </w:p>
    <w:p>
      <w:pPr>
        <w:pStyle w:val="BodyText"/>
        <w:rPr>
          <w:sz w:val="24"/>
        </w:rPr>
      </w:pPr>
    </w:p>
    <w:p>
      <w:pPr>
        <w:pStyle w:val="BodyText"/>
        <w:rPr>
          <w:sz w:val="20"/>
        </w:rPr>
      </w:pPr>
    </w:p>
    <w:p>
      <w:pPr>
        <w:pStyle w:val="BodyText"/>
        <w:spacing w:line="252" w:lineRule="exact"/>
        <w:ind w:left="1243"/>
      </w:pPr>
      <w:r>
        <w:rPr/>
        <w:t>en canto en puridade a inclusión destas previsións debera realizarse unha vez</w:t>
      </w:r>
    </w:p>
    <w:p>
      <w:pPr>
        <w:pStyle w:val="Heading4"/>
        <w:spacing w:line="252" w:lineRule="exact" w:before="0"/>
        <w:ind w:left="1603" w:right="0"/>
        <w:jc w:val="left"/>
      </w:pPr>
      <w:r>
        <w:rPr/>
        <w:t>2) </w:t>
      </w:r>
      <w:r>
        <w:rPr>
          <w:u w:val="single"/>
        </w:rPr>
        <w:t>Observacións ás previsións de gastos do Orzamento</w:t>
      </w:r>
    </w:p>
    <w:p>
      <w:pPr>
        <w:pStyle w:val="BodyText"/>
        <w:spacing w:before="1"/>
        <w:rPr>
          <w:b/>
          <w:sz w:val="14"/>
        </w:rPr>
      </w:pPr>
    </w:p>
    <w:p>
      <w:pPr>
        <w:pStyle w:val="BodyText"/>
        <w:spacing w:before="91"/>
        <w:ind w:left="1244"/>
      </w:pPr>
      <w:r>
        <w:rPr/>
        <w:pict>
          <v:shape style="position:absolute;margin-left:535.991211pt;margin-top:14.362345pt;width:32.9pt;height:247.2pt;mso-position-horizontal-relative:page;mso-position-vertical-relative:paragraph;z-index:1792"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t>Polo que respecta ós gastos cabe facer ás seguintes observacións:</w:t>
      </w:r>
    </w:p>
    <w:p>
      <w:pPr>
        <w:pStyle w:val="BodyText"/>
      </w:pPr>
    </w:p>
    <w:p>
      <w:pPr>
        <w:pStyle w:val="ListParagraph"/>
        <w:numPr>
          <w:ilvl w:val="3"/>
          <w:numId w:val="5"/>
        </w:numPr>
        <w:tabs>
          <w:tab w:pos="1560" w:val="left" w:leader="none"/>
        </w:tabs>
        <w:spacing w:line="240" w:lineRule="auto" w:before="0" w:after="0"/>
        <w:ind w:left="1288" w:right="0" w:hanging="14"/>
        <w:jc w:val="left"/>
        <w:rPr>
          <w:b/>
          <w:sz w:val="22"/>
        </w:rPr>
      </w:pPr>
      <w:r>
        <w:rPr>
          <w:sz w:val="22"/>
        </w:rPr>
        <w:t>Polo que respecta aos </w:t>
      </w:r>
      <w:r>
        <w:rPr>
          <w:b/>
          <w:sz w:val="22"/>
          <w:u w:val="single"/>
        </w:rPr>
        <w:t>gastos de persoal:</w:t>
      </w:r>
    </w:p>
    <w:p>
      <w:pPr>
        <w:pStyle w:val="BodyText"/>
        <w:spacing w:before="1"/>
        <w:rPr>
          <w:b/>
          <w:sz w:val="14"/>
        </w:rPr>
      </w:pPr>
    </w:p>
    <w:p>
      <w:pPr>
        <w:pStyle w:val="ListParagraph"/>
        <w:numPr>
          <w:ilvl w:val="0"/>
          <w:numId w:val="6"/>
        </w:numPr>
        <w:tabs>
          <w:tab w:pos="1243" w:val="left" w:leader="none"/>
          <w:tab w:pos="1244" w:val="left" w:leader="none"/>
        </w:tabs>
        <w:spacing w:line="240" w:lineRule="auto" w:before="91" w:after="0"/>
        <w:ind w:left="1244" w:right="0" w:hanging="330"/>
        <w:jc w:val="left"/>
        <w:rPr>
          <w:sz w:val="22"/>
        </w:rPr>
      </w:pPr>
      <w:r>
        <w:rPr>
          <w:spacing w:val="-4"/>
          <w:sz w:val="22"/>
        </w:rPr>
        <w:t>Tendo </w:t>
      </w:r>
      <w:r>
        <w:rPr>
          <w:sz w:val="22"/>
        </w:rPr>
        <w:t>en conta a normativa actual, non se inclúe incremento nas retribucións do</w:t>
      </w:r>
      <w:r>
        <w:rPr>
          <w:spacing w:val="-10"/>
          <w:sz w:val="22"/>
        </w:rPr>
        <w:t> </w:t>
      </w:r>
      <w:r>
        <w:rPr>
          <w:sz w:val="22"/>
        </w:rPr>
        <w:t>persoal.</w:t>
      </w:r>
    </w:p>
    <w:p>
      <w:pPr>
        <w:pStyle w:val="BodyText"/>
      </w:pPr>
    </w:p>
    <w:p>
      <w:pPr>
        <w:pStyle w:val="ListParagraph"/>
        <w:numPr>
          <w:ilvl w:val="0"/>
          <w:numId w:val="6"/>
        </w:numPr>
        <w:tabs>
          <w:tab w:pos="1244" w:val="left" w:leader="none"/>
        </w:tabs>
        <w:spacing w:line="240" w:lineRule="auto" w:before="0" w:after="0"/>
        <w:ind w:left="1244" w:right="1702" w:hanging="360"/>
        <w:jc w:val="both"/>
        <w:rPr>
          <w:sz w:val="22"/>
        </w:rPr>
      </w:pPr>
      <w:r>
        <w:rPr>
          <w:sz w:val="22"/>
        </w:rPr>
        <w:t>Reitérase a advertencia da existencia de persoal contratado por obra ou servizo e interino cuxa duración estase a prolongar no tempo, polo que resulta evidente o seu carácter de permanencia no tempo, o que implica unha irregularidade na contratación e selección do persoal, como xa se ten posto de manifesto ó longo de diferentes</w:t>
      </w:r>
      <w:r>
        <w:rPr>
          <w:spacing w:val="-6"/>
          <w:sz w:val="22"/>
        </w:rPr>
        <w:t> </w:t>
      </w:r>
      <w:r>
        <w:rPr>
          <w:sz w:val="22"/>
        </w:rPr>
        <w:t>informes.</w:t>
      </w:r>
    </w:p>
    <w:p>
      <w:pPr>
        <w:pStyle w:val="BodyText"/>
        <w:spacing w:before="1"/>
      </w:pPr>
    </w:p>
    <w:p>
      <w:pPr>
        <w:pStyle w:val="ListParagraph"/>
        <w:numPr>
          <w:ilvl w:val="0"/>
          <w:numId w:val="6"/>
        </w:numPr>
        <w:tabs>
          <w:tab w:pos="1244" w:val="left" w:leader="none"/>
        </w:tabs>
        <w:spacing w:line="240" w:lineRule="auto" w:before="0" w:after="0"/>
        <w:ind w:left="1244" w:right="1703" w:hanging="360"/>
        <w:jc w:val="both"/>
        <w:rPr>
          <w:sz w:val="22"/>
        </w:rPr>
      </w:pPr>
      <w:r>
        <w:rPr>
          <w:sz w:val="22"/>
        </w:rPr>
        <w:t>A Lei de orzamentos para o exercicio 2016 establecía que durante o ano 2016 non se procederá á contratación de persoal temporal, nin ó nomeamento de persoal estatutario temporal ou de funcionarios interinos, agás en casos excepcionais e para cubrir necesidades urxentes e inaprazables que se restrinxirán ós sectores, funcións e categorías profesionais que se consideren prioritarios ou que afecten ó funcionamento dos servizos públicos</w:t>
      </w:r>
      <w:r>
        <w:rPr>
          <w:spacing w:val="-17"/>
          <w:sz w:val="22"/>
        </w:rPr>
        <w:t> </w:t>
      </w:r>
      <w:r>
        <w:rPr>
          <w:sz w:val="22"/>
        </w:rPr>
        <w:t>esenciais.</w:t>
      </w:r>
    </w:p>
    <w:p>
      <w:pPr>
        <w:pStyle w:val="BodyText"/>
      </w:pPr>
    </w:p>
    <w:p>
      <w:pPr>
        <w:pStyle w:val="BodyText"/>
        <w:ind w:left="1243" w:right="1706"/>
        <w:jc w:val="both"/>
      </w:pPr>
      <w:r>
        <w:rPr/>
        <w:drawing>
          <wp:anchor distT="0" distB="0" distL="0" distR="0" allowOverlap="1" layoutInCell="1" locked="0" behindDoc="0" simplePos="0" relativeHeight="1768">
            <wp:simplePos x="0" y="0"/>
            <wp:positionH relativeFrom="page">
              <wp:posOffset>6871850</wp:posOffset>
            </wp:positionH>
            <wp:positionV relativeFrom="paragraph">
              <wp:posOffset>658743</wp:posOffset>
            </wp:positionV>
            <wp:extent cx="328070" cy="3911600"/>
            <wp:effectExtent l="0" t="0" r="0" b="0"/>
            <wp:wrapNone/>
            <wp:docPr id="23" name="image3.png" descr=""/>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328070" cy="3911600"/>
                    </a:xfrm>
                    <a:prstGeom prst="rect">
                      <a:avLst/>
                    </a:prstGeom>
                  </pic:spPr>
                </pic:pic>
              </a:graphicData>
            </a:graphic>
          </wp:anchor>
        </w:drawing>
      </w:r>
      <w:r>
        <w:rPr/>
        <w:t>Actualmente non se conta con Lei de orzamentos xerais do Estado para 2017. Non obstante, a propia CE establece no artigo 134.4 a prorroga automática dos orzamentos neste caso. Non obstante, esta funcionaria advirte da posibilidade de ter que realizar modificacións ao orzamento unha vez sexan aprobados os do Estado para acomodalos ás directrices que poidan establecer.</w:t>
      </w:r>
    </w:p>
    <w:p>
      <w:pPr>
        <w:pStyle w:val="BodyText"/>
        <w:spacing w:before="11"/>
        <w:rPr>
          <w:sz w:val="21"/>
        </w:rPr>
      </w:pPr>
    </w:p>
    <w:p>
      <w:pPr>
        <w:pStyle w:val="ListParagraph"/>
        <w:numPr>
          <w:ilvl w:val="0"/>
          <w:numId w:val="6"/>
        </w:numPr>
        <w:tabs>
          <w:tab w:pos="1244" w:val="left" w:leader="none"/>
        </w:tabs>
        <w:spacing w:line="240" w:lineRule="auto" w:before="0" w:after="0"/>
        <w:ind w:left="1244" w:right="1702" w:hanging="360"/>
        <w:jc w:val="both"/>
        <w:rPr>
          <w:sz w:val="22"/>
        </w:rPr>
      </w:pPr>
      <w:r>
        <w:rPr/>
        <w:pict>
          <v:shape style="position:absolute;margin-left:567.568359pt;margin-top:25.967739pt;width:14.75pt;height:272.75pt;mso-position-horizontal-relative:page;mso-position-vertical-relative:paragraph;z-index:1816"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8 de 11</w:t>
                  </w:r>
                </w:p>
              </w:txbxContent>
            </v:textbox>
            <w10:wrap type="none"/>
          </v:shape>
        </w:pict>
      </w:r>
      <w:r>
        <w:rPr>
          <w:sz w:val="22"/>
        </w:rPr>
        <w:t>Informa esta funcionaria que este concello non conta con </w:t>
      </w:r>
      <w:r>
        <w:rPr>
          <w:spacing w:val="-5"/>
          <w:sz w:val="22"/>
        </w:rPr>
        <w:t>RPT, </w:t>
      </w:r>
      <w:r>
        <w:rPr>
          <w:sz w:val="22"/>
        </w:rPr>
        <w:t>sendo este un documento de carácter obrigatorio, e que por tanto descoñécese a base de cuantificación dos correspondentes complementos específicos. Igualmente no caso do persoal laboral. É necesario que se habiliten os medios precisos para a aprobación do referido</w:t>
      </w:r>
      <w:r>
        <w:rPr>
          <w:spacing w:val="-8"/>
          <w:sz w:val="22"/>
        </w:rPr>
        <w:t> </w:t>
      </w:r>
      <w:r>
        <w:rPr>
          <w:sz w:val="22"/>
        </w:rPr>
        <w:t>documento.</w:t>
      </w:r>
    </w:p>
    <w:p>
      <w:pPr>
        <w:pStyle w:val="BodyText"/>
        <w:spacing w:before="1"/>
      </w:pPr>
    </w:p>
    <w:p>
      <w:pPr>
        <w:pStyle w:val="BodyText"/>
        <w:ind w:left="1243" w:right="1704"/>
        <w:jc w:val="both"/>
      </w:pPr>
      <w:r>
        <w:rPr/>
        <w:t>Directamente relacionado con esto, cabe destacar que á vista do cadro de persoal de funcionarios se amortizan dúas prazas e se crea unha terceira denominada “Técnico de Intervención”. O procedemento axeitado sería a modificación previa da RPT neste sentido, amortizando as dúas prazas e procedendo á valoración e determinación das funcións da nova e realizado este trámite, pasaria a incluírse no cadro de persoal do orzamento. Polo tanto, tal valoración non se fixo de acordo co procedemento</w:t>
      </w:r>
      <w:r>
        <w:rPr>
          <w:spacing w:val="-8"/>
        </w:rPr>
        <w:t> </w:t>
      </w:r>
      <w:r>
        <w:rPr/>
        <w:t>establecido.</w:t>
      </w:r>
    </w:p>
    <w:p>
      <w:pPr>
        <w:pStyle w:val="BodyText"/>
        <w:ind w:left="1243" w:right="1706"/>
        <w:jc w:val="both"/>
      </w:pPr>
      <w:r>
        <w:rPr/>
        <w:t>Modifícase o nivel de complemento de destino da praza denominada “oficial da policía local” (de 18 a 22). Igualmente ao carecer de </w:t>
      </w:r>
      <w:r>
        <w:rPr>
          <w:spacing w:val="-5"/>
        </w:rPr>
        <w:t>RPT, </w:t>
      </w:r>
      <w:r>
        <w:rPr/>
        <w:t>a modificación non conta co apoio dunha valoración previa que a</w:t>
      </w:r>
      <w:r>
        <w:rPr>
          <w:spacing w:val="-3"/>
        </w:rPr>
        <w:t> </w:t>
      </w:r>
      <w:r>
        <w:rPr/>
        <w:t>xustifique.</w:t>
      </w:r>
    </w:p>
    <w:p>
      <w:pPr>
        <w:pStyle w:val="BodyText"/>
        <w:ind w:left="1243" w:right="1710"/>
        <w:jc w:val="both"/>
      </w:pPr>
      <w:r>
        <w:rPr/>
        <w:t>Obsérvase unha praza de administrativo ao que se lle retribúe un nivel por enriba do límite máximo previsto (que no seu caso é o 24). Descoñécese o fundamento legal da aplicación do dito nivel, formulándose reparo.</w:t>
      </w:r>
    </w:p>
    <w:p>
      <w:pPr>
        <w:pStyle w:val="BodyText"/>
        <w:spacing w:before="10"/>
        <w:rPr>
          <w:sz w:val="21"/>
        </w:rPr>
      </w:pPr>
    </w:p>
    <w:p>
      <w:pPr>
        <w:pStyle w:val="BodyText"/>
        <w:spacing w:before="1"/>
        <w:ind w:left="1243"/>
        <w:jc w:val="both"/>
      </w:pPr>
      <w:r>
        <w:rPr/>
        <w:t>Prodúcese un incremento do capítulo 1 de gastos como consecuencia do incremento indicado da</w:t>
      </w:r>
    </w:p>
    <w:p>
      <w:pPr>
        <w:pStyle w:val="BodyText"/>
        <w:spacing w:before="7"/>
        <w:rPr>
          <w:sz w:val="28"/>
        </w:rPr>
      </w:pPr>
      <w:r>
        <w:rPr/>
        <w:pict>
          <v:line style="position:absolute;mso-position-horizontal-relative:page;mso-position-vertical-relative:paragraph;z-index:1744;mso-wrap-distance-left:0;mso-wrap-distance-right:0" from="85.099998pt,18.670141pt" to="510.199998pt,18.670141pt" stroked="true" strokeweight=".5pt" strokecolor="#000000">
            <v:stroke dashstyle="solid"/>
            <w10:wrap type="topAndBottom"/>
          </v:line>
        </w:pict>
      </w:r>
    </w:p>
    <w:p>
      <w:pPr>
        <w:pStyle w:val="Heading4"/>
        <w:ind w:left="2687" w:right="3137"/>
      </w:pPr>
      <w:r>
        <w:rPr/>
        <w:t>Concello de Ortigueira</w:t>
      </w:r>
    </w:p>
    <w:p>
      <w:pPr>
        <w:spacing w:before="121"/>
        <w:ind w:left="2689" w:right="3137" w:firstLine="0"/>
        <w:jc w:val="center"/>
        <w:rPr>
          <w:sz w:val="16"/>
        </w:rPr>
      </w:pPr>
      <w:r>
        <w:rPr>
          <w:sz w:val="16"/>
        </w:rPr>
        <w:t>Plaza de Isabel II, s/n, Ortigueira. 15330 A Coruña. Tfno. 981400000. Fax: 981402536</w:t>
      </w:r>
    </w:p>
    <w:p>
      <w:pPr>
        <w:spacing w:after="0"/>
        <w:jc w:val="center"/>
        <w:rPr>
          <w:sz w:val="16"/>
        </w:rPr>
        <w:sectPr>
          <w:headerReference w:type="default" r:id="rId14"/>
          <w:pgSz w:w="11900" w:h="16840"/>
          <w:pgMar w:header="710" w:footer="0" w:top="2240" w:bottom="0" w:left="460" w:right="0"/>
        </w:sectPr>
      </w:pPr>
    </w:p>
    <w:p>
      <w:pPr>
        <w:pStyle w:val="BodyText"/>
        <w:spacing w:before="10"/>
        <w:rPr>
          <w:sz w:val="9"/>
        </w:rPr>
      </w:pPr>
    </w:p>
    <w:p>
      <w:pPr>
        <w:pStyle w:val="BodyText"/>
        <w:spacing w:before="91"/>
        <w:ind w:left="1243" w:right="1703"/>
        <w:jc w:val="both"/>
      </w:pPr>
      <w:r>
        <w:rPr/>
        <w:t>praza de oficial de policía local, da creación de dúas plazas de auxiliares de policía local e do incremento das prazas de auxiliares de axuda no fogar (pasan de 25 a 31).</w:t>
      </w:r>
    </w:p>
    <w:p>
      <w:pPr>
        <w:pStyle w:val="BodyText"/>
        <w:spacing w:before="10"/>
        <w:rPr>
          <w:sz w:val="21"/>
        </w:rPr>
      </w:pPr>
    </w:p>
    <w:p>
      <w:pPr>
        <w:pStyle w:val="BodyText"/>
        <w:ind w:left="1243" w:right="1695"/>
        <w:jc w:val="both"/>
      </w:pPr>
      <w:r>
        <w:rPr/>
        <w:pict>
          <v:shape style="position:absolute;margin-left:535.991211pt;margin-top:85.712311pt;width:32.9pt;height:247.2pt;mso-position-horizontal-relative:page;mso-position-vertical-relative:paragraph;z-index:1888"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color w:val="000009"/>
        </w:rPr>
        <w:t>En relación con esta cuestión cabe facer referencia ao artigo 103 bis da Lei 7/1985 de bases de réxime local no que se regula a masa salarial do personal laboral do sector público local e que establece que “</w:t>
      </w:r>
      <w:r>
        <w:rPr>
          <w:color w:val="212121"/>
        </w:rPr>
        <w:t>Las Corporaciones locales aprobarán anualmente la masa salarial del personal laboral del sector público local respetando los límites y las condiciones que se establezcan con carácter básico en la correspondiente Ley de Presupuestos Generales del Estado”; e ao artigo 19.Dos </w:t>
      </w:r>
      <w:r>
        <w:rPr>
          <w:color w:val="000009"/>
        </w:rPr>
        <w:t>da Lei de orzamentos xerais do Estado para 2016 (Lei 48/2015, de 29 de outubro)- entendendo a prórroga automática dos orzamentos en coherrencia co artigo 134,4 CE - que </w:t>
      </w:r>
      <w:r>
        <w:rPr>
          <w:color w:val="212121"/>
        </w:rPr>
        <w:t>establece: “ En el año 2016, las retribuciones del personal al servicio del sector público no podrán experimentar un incremento global superior al 1 por ciento respecto a las vigentes a 31 de diciembre de 2015, en términos de homogeneidad para los dos períodos de la comparación, tanto por lo que respecta a efectivos de personal como a la antigüedad del mismo.”</w:t>
      </w:r>
    </w:p>
    <w:p>
      <w:pPr>
        <w:pStyle w:val="BodyText"/>
        <w:spacing w:before="160"/>
        <w:ind w:left="1243" w:right="1700"/>
        <w:jc w:val="both"/>
      </w:pPr>
      <w:r>
        <w:rPr>
          <w:color w:val="212121"/>
        </w:rPr>
        <w:t>Dado que non se coñece normativa que desenvolva e concrete a prórroga automática dos orzamentos do Estado, por principio de prudencia, non se aplica a suba salarial que se estableceu para o exercicio 2016 á espera da concreción legal posterior sobre esta cuestión. Non obstante, as Leis de Orzamentos do Estado dos ultimos anos veñen contemplando ou ben unha conxelación salarial ou una subida porcentual de todas as retriucións (exercicio 2016: 1%) en termos de homoxeneidade coas retribucións a 31 de decembro do exercicio</w:t>
      </w:r>
      <w:r>
        <w:rPr>
          <w:color w:val="212121"/>
          <w:spacing w:val="-8"/>
        </w:rPr>
        <w:t> </w:t>
      </w:r>
      <w:r>
        <w:rPr>
          <w:color w:val="212121"/>
          <w:spacing w:val="-3"/>
        </w:rPr>
        <w:t>anterior.</w:t>
      </w:r>
    </w:p>
    <w:p>
      <w:pPr>
        <w:pStyle w:val="BodyText"/>
        <w:spacing w:before="158"/>
        <w:ind w:left="1243" w:right="1700"/>
        <w:jc w:val="both"/>
      </w:pPr>
      <w:r>
        <w:rPr>
          <w:color w:val="212121"/>
        </w:rPr>
        <w:t>As modificacións incluídas no persoal supoñen un incremento de capítulo 1 polo que entendo que </w:t>
      </w:r>
      <w:r>
        <w:rPr>
          <w:color w:val="000009"/>
        </w:rPr>
        <w:t>se debe xustificar na proposta de alcaldía o dito incremento e o cumprimento dos preceptos referenciados, formulando reparo noutro caso.</w:t>
      </w:r>
    </w:p>
    <w:p>
      <w:pPr>
        <w:pStyle w:val="BodyText"/>
        <w:rPr>
          <w:sz w:val="24"/>
        </w:rPr>
      </w:pPr>
    </w:p>
    <w:p>
      <w:pPr>
        <w:pStyle w:val="BodyText"/>
        <w:spacing w:before="7"/>
        <w:rPr>
          <w:sz w:val="33"/>
        </w:rPr>
      </w:pPr>
    </w:p>
    <w:p>
      <w:pPr>
        <w:pStyle w:val="ListParagraph"/>
        <w:numPr>
          <w:ilvl w:val="3"/>
          <w:numId w:val="5"/>
        </w:numPr>
        <w:tabs>
          <w:tab w:pos="1634" w:val="left" w:leader="none"/>
        </w:tabs>
        <w:spacing w:line="240" w:lineRule="auto" w:before="0" w:after="0"/>
        <w:ind w:left="1288" w:right="1692" w:firstLine="0"/>
        <w:jc w:val="both"/>
        <w:rPr>
          <w:sz w:val="22"/>
        </w:rPr>
      </w:pPr>
      <w:r>
        <w:rPr/>
        <w:drawing>
          <wp:anchor distT="0" distB="0" distL="0" distR="0" allowOverlap="1" layoutInCell="1" locked="0" behindDoc="0" simplePos="0" relativeHeight="1864">
            <wp:simplePos x="0" y="0"/>
            <wp:positionH relativeFrom="page">
              <wp:posOffset>6871850</wp:posOffset>
            </wp:positionH>
            <wp:positionV relativeFrom="paragraph">
              <wp:posOffset>519043</wp:posOffset>
            </wp:positionV>
            <wp:extent cx="328070" cy="3911600"/>
            <wp:effectExtent l="0" t="0" r="0" b="0"/>
            <wp:wrapNone/>
            <wp:docPr id="25" name="image3.png" descr=""/>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328070" cy="3911600"/>
                    </a:xfrm>
                    <a:prstGeom prst="rect">
                      <a:avLst/>
                    </a:prstGeom>
                  </pic:spPr>
                </pic:pic>
              </a:graphicData>
            </a:graphic>
          </wp:anchor>
        </w:drawing>
      </w:r>
      <w:r>
        <w:rPr/>
        <w:pict>
          <v:shape style="position:absolute;margin-left:567.568359pt;margin-top:78.167755pt;width:14.75pt;height:272.75pt;mso-position-horizontal-relative:page;mso-position-vertical-relative:paragraph;z-index:1912"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9 de 11</w:t>
                  </w:r>
                </w:p>
              </w:txbxContent>
            </v:textbox>
            <w10:wrap type="none"/>
          </v:shape>
        </w:pict>
      </w:r>
      <w:r>
        <w:rPr>
          <w:sz w:val="22"/>
        </w:rPr>
        <w:t>En canto ás subvención sinálase que nas BEO prevese a concesión de subvencións nominativas por importe representativo dentro do conxunto de gastos de capítulo 4. Esta funcionaria recorda que en base o disposto no artigo 21 .1 da </w:t>
      </w:r>
      <w:r>
        <w:rPr>
          <w:i/>
          <w:sz w:val="22"/>
        </w:rPr>
        <w:t>Ley General de Subvenciones </w:t>
      </w:r>
      <w:r>
        <w:rPr>
          <w:sz w:val="22"/>
        </w:rPr>
        <w:t>e no artigo 55.1 do </w:t>
      </w:r>
      <w:r>
        <w:rPr>
          <w:i/>
          <w:sz w:val="22"/>
        </w:rPr>
        <w:t>Reglamento de la Ley 38/2003, </w:t>
      </w:r>
      <w:r>
        <w:rPr>
          <w:sz w:val="22"/>
        </w:rPr>
        <w:t>que determinan que </w:t>
      </w:r>
      <w:r>
        <w:rPr>
          <w:i/>
          <w:sz w:val="22"/>
        </w:rPr>
        <w:t>o procedemento ordinario </w:t>
      </w:r>
      <w:r>
        <w:rPr>
          <w:i/>
          <w:sz w:val="22"/>
        </w:rPr>
        <w:t>para a concesión de subvencións e o procedemento de concorrencia competitiva</w:t>
      </w:r>
      <w:r>
        <w:rPr>
          <w:sz w:val="22"/>
        </w:rPr>
        <w:t>, debería terse en conta esta circunstancia polo Pleno, órgano ó que corresponde a aprobación do Orzamento, tratando en expedientes futuros de fomentar o réxime de concorrencia competitiva fronte o procedemento de concesión directa e tratando de garantizar os principios fixados no artigo 8.3 da Ley</w:t>
      </w:r>
      <w:r>
        <w:rPr>
          <w:spacing w:val="-2"/>
          <w:sz w:val="22"/>
        </w:rPr>
        <w:t> </w:t>
      </w:r>
      <w:r>
        <w:rPr>
          <w:sz w:val="22"/>
        </w:rPr>
        <w:t>38/2003</w:t>
      </w:r>
    </w:p>
    <w:p>
      <w:pPr>
        <w:pStyle w:val="BodyText"/>
        <w:spacing w:before="2"/>
        <w:ind w:left="1288" w:right="1703" w:hanging="62"/>
        <w:jc w:val="both"/>
      </w:pPr>
      <w:r>
        <w:rPr/>
        <w:t>Ademais tamén debe elaborarse por parte dos órganos xestores o correspondente Plan estratéxico o que fai referencia o artigo 8 da Lei Xeral de Subvencións e os artigos 10 e seguintes do Real Decreto 887/2006. Así o citado artigo 8.1 da Lei</w:t>
      </w:r>
      <w:r>
        <w:rPr>
          <w:spacing w:val="-27"/>
        </w:rPr>
        <w:t> </w:t>
      </w:r>
      <w:r>
        <w:rPr/>
        <w:t>determina:</w:t>
      </w:r>
    </w:p>
    <w:p>
      <w:pPr>
        <w:pStyle w:val="BodyText"/>
        <w:spacing w:before="10"/>
        <w:rPr>
          <w:sz w:val="21"/>
        </w:rPr>
      </w:pPr>
    </w:p>
    <w:p>
      <w:pPr>
        <w:spacing w:before="0"/>
        <w:ind w:left="1288" w:right="1705" w:hanging="62"/>
        <w:jc w:val="left"/>
        <w:rPr>
          <w:sz w:val="24"/>
        </w:rPr>
      </w:pPr>
      <w:r>
        <w:rPr>
          <w:sz w:val="24"/>
        </w:rPr>
        <w:t>“</w:t>
      </w:r>
      <w:r>
        <w:rPr>
          <w:i/>
          <w:sz w:val="24"/>
        </w:rPr>
        <w:t>8.1 Los órganos de las Administraciones públicas o cualesquiera entes que propongan </w:t>
      </w:r>
      <w:r>
        <w:rPr>
          <w:i/>
          <w:sz w:val="24"/>
        </w:rPr>
        <w:t>el establecimiento de subvenciones, con carácter previo, deberán concretar en un plan estratégico de subvenciones los objetivos y efectos que se pretenden con su aplicación, el plazo necesario para su consecución, los costes previsibles y sus fuentes de financiación, supeditándose en todo caso al cumplimiento de los objetivos de estabilidad presupuestaria</w:t>
      </w:r>
      <w:r>
        <w:rPr>
          <w:sz w:val="24"/>
        </w:rPr>
        <w:t>.”</w:t>
      </w:r>
    </w:p>
    <w:p>
      <w:pPr>
        <w:pStyle w:val="BodyText"/>
        <w:spacing w:before="1"/>
        <w:ind w:left="1244"/>
        <w:jc w:val="both"/>
      </w:pPr>
      <w:r>
        <w:rPr/>
        <w:t>.</w:t>
      </w:r>
    </w:p>
    <w:p>
      <w:pPr>
        <w:pStyle w:val="BodyText"/>
      </w:pPr>
    </w:p>
    <w:p>
      <w:pPr>
        <w:pStyle w:val="ListParagraph"/>
        <w:numPr>
          <w:ilvl w:val="3"/>
          <w:numId w:val="5"/>
        </w:numPr>
        <w:tabs>
          <w:tab w:pos="1564" w:val="left" w:leader="none"/>
        </w:tabs>
        <w:spacing w:line="240" w:lineRule="auto" w:before="0" w:after="0"/>
        <w:ind w:left="1244" w:right="1706" w:firstLine="0"/>
        <w:jc w:val="both"/>
        <w:rPr>
          <w:sz w:val="22"/>
        </w:rPr>
      </w:pPr>
      <w:r>
        <w:rPr>
          <w:sz w:val="22"/>
        </w:rPr>
        <w:t>Debe procederse á contratación de servizos de carácter fixo do Concello ( entre outros subministro</w:t>
      </w:r>
      <w:r>
        <w:rPr>
          <w:spacing w:val="12"/>
          <w:sz w:val="22"/>
        </w:rPr>
        <w:t> </w:t>
      </w:r>
      <w:r>
        <w:rPr>
          <w:sz w:val="22"/>
        </w:rPr>
        <w:t>de</w:t>
      </w:r>
      <w:r>
        <w:rPr>
          <w:spacing w:val="13"/>
          <w:sz w:val="22"/>
        </w:rPr>
        <w:t> </w:t>
      </w:r>
      <w:r>
        <w:rPr>
          <w:sz w:val="22"/>
        </w:rPr>
        <w:t>enerxía</w:t>
      </w:r>
      <w:r>
        <w:rPr>
          <w:spacing w:val="15"/>
          <w:sz w:val="22"/>
        </w:rPr>
        <w:t> </w:t>
      </w:r>
      <w:r>
        <w:rPr>
          <w:sz w:val="22"/>
        </w:rPr>
        <w:t>eléctrica,</w:t>
      </w:r>
      <w:r>
        <w:rPr>
          <w:spacing w:val="13"/>
          <w:sz w:val="22"/>
        </w:rPr>
        <w:t> </w:t>
      </w:r>
      <w:r>
        <w:rPr>
          <w:sz w:val="22"/>
        </w:rPr>
        <w:t>seguros,</w:t>
      </w:r>
      <w:r>
        <w:rPr>
          <w:spacing w:val="11"/>
          <w:sz w:val="22"/>
        </w:rPr>
        <w:t> </w:t>
      </w:r>
      <w:r>
        <w:rPr>
          <w:sz w:val="22"/>
        </w:rPr>
        <w:t>telefonía</w:t>
      </w:r>
      <w:r>
        <w:rPr>
          <w:spacing w:val="12"/>
          <w:sz w:val="22"/>
        </w:rPr>
        <w:t> </w:t>
      </w:r>
      <w:r>
        <w:rPr>
          <w:sz w:val="22"/>
        </w:rPr>
        <w:t>fixa</w:t>
      </w:r>
      <w:r>
        <w:rPr>
          <w:spacing w:val="13"/>
          <w:sz w:val="22"/>
        </w:rPr>
        <w:t> </w:t>
      </w:r>
      <w:r>
        <w:rPr>
          <w:sz w:val="22"/>
        </w:rPr>
        <w:t>e</w:t>
      </w:r>
      <w:r>
        <w:rPr>
          <w:spacing w:val="12"/>
          <w:sz w:val="22"/>
        </w:rPr>
        <w:t> </w:t>
      </w:r>
      <w:r>
        <w:rPr>
          <w:sz w:val="22"/>
        </w:rPr>
        <w:t>móbil,</w:t>
      </w:r>
      <w:r>
        <w:rPr>
          <w:spacing w:val="13"/>
          <w:sz w:val="22"/>
        </w:rPr>
        <w:t> </w:t>
      </w:r>
      <w:r>
        <w:rPr>
          <w:sz w:val="22"/>
        </w:rPr>
        <w:t>,</w:t>
      </w:r>
      <w:r>
        <w:rPr>
          <w:spacing w:val="11"/>
          <w:sz w:val="22"/>
        </w:rPr>
        <w:t> </w:t>
      </w:r>
      <w:r>
        <w:rPr>
          <w:sz w:val="22"/>
        </w:rPr>
        <w:t>servizo</w:t>
      </w:r>
      <w:r>
        <w:rPr>
          <w:spacing w:val="12"/>
          <w:sz w:val="22"/>
        </w:rPr>
        <w:t> </w:t>
      </w:r>
      <w:r>
        <w:rPr>
          <w:sz w:val="22"/>
        </w:rPr>
        <w:t>prevención</w:t>
      </w:r>
      <w:r>
        <w:rPr>
          <w:spacing w:val="15"/>
          <w:sz w:val="22"/>
        </w:rPr>
        <w:t> </w:t>
      </w:r>
      <w:r>
        <w:rPr>
          <w:sz w:val="22"/>
        </w:rPr>
        <w:t>e</w:t>
      </w:r>
    </w:p>
    <w:p>
      <w:pPr>
        <w:pStyle w:val="BodyText"/>
        <w:spacing w:before="4"/>
        <w:rPr>
          <w:sz w:val="19"/>
        </w:rPr>
      </w:pPr>
      <w:r>
        <w:rPr/>
        <w:pict>
          <v:line style="position:absolute;mso-position-horizontal-relative:page;mso-position-vertical-relative:paragraph;z-index:1840;mso-wrap-distance-left:0;mso-wrap-distance-right:0" from="85.099998pt,13.353125pt" to="510.199998pt,13.353125pt" stroked="true" strokeweight=".5pt" strokecolor="#000000">
            <v:stroke dashstyle="solid"/>
            <w10:wrap type="topAndBottom"/>
          </v:line>
        </w:pict>
      </w:r>
    </w:p>
    <w:p>
      <w:pPr>
        <w:pStyle w:val="Heading4"/>
        <w:ind w:left="2687" w:right="3137"/>
      </w:pPr>
      <w:r>
        <w:rPr/>
        <w:t>Concello de Ortigueira</w:t>
      </w:r>
    </w:p>
    <w:p>
      <w:pPr>
        <w:spacing w:before="121"/>
        <w:ind w:left="2689" w:right="3137" w:firstLine="0"/>
        <w:jc w:val="center"/>
        <w:rPr>
          <w:sz w:val="16"/>
        </w:rPr>
      </w:pPr>
      <w:r>
        <w:rPr>
          <w:sz w:val="16"/>
        </w:rPr>
        <w:t>Plaza de Isabel II, s/n, Ortigueira. 15330 A Coruña. Tfno. 981400000. Fax: 981402536</w:t>
      </w:r>
    </w:p>
    <w:p>
      <w:pPr>
        <w:spacing w:after="0"/>
        <w:jc w:val="center"/>
        <w:rPr>
          <w:sz w:val="16"/>
        </w:rPr>
        <w:sectPr>
          <w:pgSz w:w="11900" w:h="16840"/>
          <w:pgMar w:header="710" w:footer="0" w:top="2240" w:bottom="0" w:left="460" w:right="0"/>
        </w:sectPr>
      </w:pPr>
    </w:p>
    <w:p>
      <w:pPr>
        <w:pStyle w:val="BodyText"/>
        <w:rPr>
          <w:sz w:val="20"/>
        </w:rPr>
      </w:pPr>
    </w:p>
    <w:p>
      <w:pPr>
        <w:pStyle w:val="BodyText"/>
        <w:rPr>
          <w:sz w:val="20"/>
        </w:rPr>
      </w:pPr>
    </w:p>
    <w:p>
      <w:pPr>
        <w:pStyle w:val="BodyText"/>
        <w:spacing w:before="4"/>
        <w:rPr>
          <w:sz w:val="12"/>
        </w:rPr>
      </w:pPr>
    </w:p>
    <w:p>
      <w:pPr>
        <w:pStyle w:val="BodyText"/>
        <w:ind w:left="212"/>
        <w:rPr>
          <w:sz w:val="20"/>
        </w:rPr>
      </w:pPr>
      <w:r>
        <w:rPr>
          <w:sz w:val="20"/>
        </w:rPr>
        <w:drawing>
          <wp:inline distT="0" distB="0" distL="0" distR="0">
            <wp:extent cx="9793967" cy="5413248"/>
            <wp:effectExtent l="0" t="0" r="0" b="0"/>
            <wp:docPr id="27" name="image7.jpeg" descr=""/>
            <wp:cNvGraphicFramePr>
              <a:graphicFrameLocks noChangeAspect="1"/>
            </wp:cNvGraphicFramePr>
            <a:graphic>
              <a:graphicData uri="http://schemas.openxmlformats.org/drawingml/2006/picture">
                <pic:pic>
                  <pic:nvPicPr>
                    <pic:cNvPr id="28" name="image7.jpeg"/>
                    <pic:cNvPicPr/>
                  </pic:nvPicPr>
                  <pic:blipFill>
                    <a:blip r:embed="rId16" cstate="print"/>
                    <a:stretch>
                      <a:fillRect/>
                    </a:stretch>
                  </pic:blipFill>
                  <pic:spPr>
                    <a:xfrm>
                      <a:off x="0" y="0"/>
                      <a:ext cx="9793967" cy="5413248"/>
                    </a:xfrm>
                    <a:prstGeom prst="rect">
                      <a:avLst/>
                    </a:prstGeom>
                  </pic:spPr>
                </pic:pic>
              </a:graphicData>
            </a:graphic>
          </wp:inline>
        </w:drawing>
      </w:r>
      <w:r>
        <w:rPr>
          <w:sz w:val="20"/>
        </w:rPr>
      </w:r>
    </w:p>
    <w:p>
      <w:pPr>
        <w:pStyle w:val="BodyText"/>
        <w:rPr>
          <w:sz w:val="20"/>
        </w:rPr>
      </w:pPr>
    </w:p>
    <w:p>
      <w:pPr>
        <w:pStyle w:val="BodyText"/>
        <w:spacing w:before="10"/>
        <w:rPr>
          <w:sz w:val="15"/>
        </w:rPr>
      </w:pPr>
    </w:p>
    <w:p>
      <w:pPr>
        <w:spacing w:after="0"/>
        <w:rPr>
          <w:sz w:val="15"/>
        </w:rPr>
        <w:sectPr>
          <w:headerReference w:type="default" r:id="rId15"/>
          <w:pgSz w:w="16840" w:h="11900" w:orient="landscape"/>
          <w:pgMar w:header="0" w:footer="0" w:top="1100" w:bottom="0" w:left="500" w:right="600"/>
        </w:sectPr>
      </w:pPr>
    </w:p>
    <w:p>
      <w:pPr>
        <w:pStyle w:val="BodyText"/>
        <w:spacing w:before="9" w:after="1"/>
        <w:rPr>
          <w:sz w:val="15"/>
        </w:rPr>
      </w:pPr>
    </w:p>
    <w:p>
      <w:pPr>
        <w:pStyle w:val="BodyText"/>
        <w:ind w:left="120"/>
        <w:rPr>
          <w:sz w:val="20"/>
        </w:rPr>
      </w:pPr>
      <w:r>
        <w:rPr>
          <w:sz w:val="20"/>
        </w:rPr>
        <w:drawing>
          <wp:inline distT="0" distB="0" distL="0" distR="0">
            <wp:extent cx="3897623" cy="326898"/>
            <wp:effectExtent l="0" t="0" r="0" b="0"/>
            <wp:docPr id="29" name="image6.png" descr=""/>
            <wp:cNvGraphicFramePr>
              <a:graphicFrameLocks noChangeAspect="1"/>
            </wp:cNvGraphicFramePr>
            <a:graphic>
              <a:graphicData uri="http://schemas.openxmlformats.org/drawingml/2006/picture">
                <pic:pic>
                  <pic:nvPicPr>
                    <pic:cNvPr id="30" name="image6.png"/>
                    <pic:cNvPicPr/>
                  </pic:nvPicPr>
                  <pic:blipFill>
                    <a:blip r:embed="rId13" cstate="print"/>
                    <a:stretch>
                      <a:fillRect/>
                    </a:stretch>
                  </pic:blipFill>
                  <pic:spPr>
                    <a:xfrm>
                      <a:off x="0" y="0"/>
                      <a:ext cx="3897623" cy="326898"/>
                    </a:xfrm>
                    <a:prstGeom prst="rect">
                      <a:avLst/>
                    </a:prstGeom>
                  </pic:spPr>
                </pic:pic>
              </a:graphicData>
            </a:graphic>
          </wp:inline>
        </w:drawing>
      </w:r>
      <w:r>
        <w:rPr>
          <w:sz w:val="20"/>
        </w:rPr>
      </w:r>
    </w:p>
    <w:p>
      <w:pPr>
        <w:spacing w:line="208" w:lineRule="auto" w:before="45"/>
        <w:ind w:left="100" w:right="193"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10 de 11</w:t>
      </w:r>
    </w:p>
    <w:p>
      <w:pPr>
        <w:pStyle w:val="Heading1"/>
        <w:spacing w:before="100"/>
        <w:ind w:left="100"/>
      </w:pPr>
      <w:r>
        <w:rPr/>
        <w:br w:type="column"/>
      </w:r>
      <w:r>
        <w:rPr/>
        <w:t>INFORMES DE INTERVENCION</w:t>
      </w:r>
    </w:p>
    <w:p>
      <w:pPr>
        <w:spacing w:line="200" w:lineRule="exact" w:before="0"/>
        <w:ind w:left="120" w:right="0" w:firstLine="0"/>
        <w:jc w:val="left"/>
        <w:rPr>
          <w:rFonts w:ascii="Tahoma" w:hAnsi="Tahoma"/>
          <w:sz w:val="18"/>
        </w:rPr>
      </w:pPr>
      <w:r>
        <w:rPr>
          <w:rFonts w:ascii="Tahoma" w:hAnsi="Tahoma"/>
          <w:sz w:val="18"/>
        </w:rPr>
        <w:t>Número: 2017-0003 Fecha: 16/01/2017</w:t>
      </w:r>
    </w:p>
    <w:p>
      <w:pPr>
        <w:spacing w:after="0" w:line="200" w:lineRule="exact"/>
        <w:jc w:val="left"/>
        <w:rPr>
          <w:rFonts w:ascii="Tahoma" w:hAnsi="Tahoma"/>
          <w:sz w:val="18"/>
        </w:rPr>
        <w:sectPr>
          <w:type w:val="continuous"/>
          <w:pgSz w:w="16840" w:h="11900" w:orient="landscape"/>
          <w:pgMar w:top="2120" w:bottom="0" w:left="500" w:right="600"/>
          <w:cols w:num="2" w:equalWidth="0">
            <w:col w:w="6321" w:space="79"/>
            <w:col w:w="9340"/>
          </w:cols>
        </w:sectPr>
      </w:pPr>
    </w:p>
    <w:p>
      <w:pPr>
        <w:pStyle w:val="BodyText"/>
        <w:ind w:left="1246"/>
        <w:rPr>
          <w:rFonts w:ascii="Tahoma"/>
          <w:sz w:val="20"/>
        </w:rPr>
      </w:pPr>
      <w:r>
        <w:rPr>
          <w:rFonts w:ascii="Tahoma"/>
          <w:sz w:val="20"/>
        </w:rPr>
        <w:drawing>
          <wp:inline distT="0" distB="0" distL="0" distR="0">
            <wp:extent cx="530821" cy="694944"/>
            <wp:effectExtent l="0" t="0" r="0" b="0"/>
            <wp:docPr id="31" name="image1.jpeg" descr=""/>
            <wp:cNvGraphicFramePr>
              <a:graphicFrameLocks noChangeAspect="1"/>
            </wp:cNvGraphicFramePr>
            <a:graphic>
              <a:graphicData uri="http://schemas.openxmlformats.org/drawingml/2006/picture">
                <pic:pic>
                  <pic:nvPicPr>
                    <pic:cNvPr id="32" name="image1.jpeg"/>
                    <pic:cNvPicPr/>
                  </pic:nvPicPr>
                  <pic:blipFill>
                    <a:blip r:embed="rId18" cstate="print"/>
                    <a:stretch>
                      <a:fillRect/>
                    </a:stretch>
                  </pic:blipFill>
                  <pic:spPr>
                    <a:xfrm>
                      <a:off x="0" y="0"/>
                      <a:ext cx="530821" cy="694944"/>
                    </a:xfrm>
                    <a:prstGeom prst="rect">
                      <a:avLst/>
                    </a:prstGeom>
                  </pic:spPr>
                </pic:pic>
              </a:graphicData>
            </a:graphic>
          </wp:inline>
        </w:drawing>
      </w:r>
      <w:r>
        <w:rPr>
          <w:rFonts w:ascii="Tahoma"/>
          <w:sz w:val="20"/>
        </w:rPr>
      </w:r>
    </w:p>
    <w:p>
      <w:pPr>
        <w:pStyle w:val="Heading2"/>
        <w:spacing w:before="13"/>
        <w:ind w:left="2689" w:right="3136"/>
        <w:jc w:val="center"/>
      </w:pPr>
      <w:r>
        <w:rPr/>
        <w:pict>
          <v:line style="position:absolute;mso-position-horizontal-relative:page;mso-position-vertical-relative:paragraph;z-index:1936;mso-wrap-distance-left:0;mso-wrap-distance-right:0" from="85.099998pt,21.970312pt" to="510.199998pt,21.970312pt" stroked="true" strokeweight=".5pt" strokecolor="#000000">
            <v:stroke dashstyle="solid"/>
            <w10:wrap type="topAndBottom"/>
          </v:line>
        </w:pict>
      </w:r>
      <w:r>
        <w:rPr/>
        <w:t>Concello de Ortigueira</w:t>
      </w:r>
    </w:p>
    <w:p>
      <w:pPr>
        <w:pStyle w:val="BodyText"/>
        <w:spacing w:before="4"/>
        <w:rPr>
          <w:b/>
          <w:sz w:val="7"/>
        </w:rPr>
      </w:pPr>
    </w:p>
    <w:p>
      <w:pPr>
        <w:pStyle w:val="Heading3"/>
        <w:spacing w:before="90"/>
        <w:ind w:right="0"/>
      </w:pPr>
      <w:r>
        <w:rPr/>
        <w:t>documento orzamentario ou dos seus anexos.</w:t>
      </w:r>
    </w:p>
    <w:p>
      <w:pPr>
        <w:pStyle w:val="BodyText"/>
        <w:rPr>
          <w:sz w:val="26"/>
        </w:rPr>
      </w:pPr>
    </w:p>
    <w:p>
      <w:pPr>
        <w:pStyle w:val="ListParagraph"/>
        <w:numPr>
          <w:ilvl w:val="4"/>
          <w:numId w:val="5"/>
        </w:numPr>
        <w:tabs>
          <w:tab w:pos="1773" w:val="left" w:leader="none"/>
          <w:tab w:pos="1774" w:val="left" w:leader="none"/>
        </w:tabs>
        <w:spacing w:line="199" w:lineRule="auto" w:before="194" w:after="0"/>
        <w:ind w:left="1698" w:right="1702" w:hanging="284"/>
        <w:jc w:val="left"/>
        <w:rPr>
          <w:rFonts w:ascii="Arial Unicode MS" w:hAnsi="Arial Unicode MS"/>
          <w:sz w:val="24"/>
        </w:rPr>
      </w:pPr>
      <w:r>
        <w:rPr>
          <w:sz w:val="24"/>
        </w:rPr>
        <w:t>Exposición ó público do Orzamento durante o prazo de quince días hábiles, mediante</w:t>
      </w:r>
      <w:r>
        <w:rPr>
          <w:spacing w:val="11"/>
          <w:sz w:val="24"/>
        </w:rPr>
        <w:t> </w:t>
      </w:r>
      <w:r>
        <w:rPr>
          <w:sz w:val="24"/>
        </w:rPr>
        <w:t>un</w:t>
      </w:r>
      <w:r>
        <w:rPr>
          <w:spacing w:val="12"/>
          <w:sz w:val="24"/>
        </w:rPr>
        <w:t> </w:t>
      </w:r>
      <w:r>
        <w:rPr>
          <w:sz w:val="24"/>
        </w:rPr>
        <w:t>anuncio</w:t>
      </w:r>
      <w:r>
        <w:rPr>
          <w:spacing w:val="12"/>
          <w:sz w:val="24"/>
        </w:rPr>
        <w:t> </w:t>
      </w:r>
      <w:r>
        <w:rPr>
          <w:sz w:val="24"/>
        </w:rPr>
        <w:t>no</w:t>
      </w:r>
      <w:r>
        <w:rPr>
          <w:spacing w:val="10"/>
          <w:sz w:val="24"/>
        </w:rPr>
        <w:t> </w:t>
      </w:r>
      <w:r>
        <w:rPr>
          <w:sz w:val="24"/>
        </w:rPr>
        <w:t>Boletín</w:t>
      </w:r>
      <w:r>
        <w:rPr>
          <w:spacing w:val="12"/>
          <w:sz w:val="24"/>
        </w:rPr>
        <w:t> </w:t>
      </w:r>
      <w:r>
        <w:rPr>
          <w:sz w:val="24"/>
        </w:rPr>
        <w:t>Oficial</w:t>
      </w:r>
      <w:r>
        <w:rPr>
          <w:spacing w:val="11"/>
          <w:sz w:val="24"/>
        </w:rPr>
        <w:t> </w:t>
      </w:r>
      <w:r>
        <w:rPr>
          <w:sz w:val="24"/>
        </w:rPr>
        <w:t>da</w:t>
      </w:r>
      <w:r>
        <w:rPr>
          <w:spacing w:val="11"/>
          <w:sz w:val="24"/>
        </w:rPr>
        <w:t> </w:t>
      </w:r>
      <w:r>
        <w:rPr>
          <w:sz w:val="24"/>
        </w:rPr>
        <w:t>Provincia</w:t>
      </w:r>
      <w:r>
        <w:rPr>
          <w:spacing w:val="11"/>
          <w:sz w:val="24"/>
        </w:rPr>
        <w:t> </w:t>
      </w:r>
      <w:r>
        <w:rPr>
          <w:sz w:val="24"/>
        </w:rPr>
        <w:t>e</w:t>
      </w:r>
      <w:r>
        <w:rPr>
          <w:spacing w:val="11"/>
          <w:sz w:val="24"/>
        </w:rPr>
        <w:t> </w:t>
      </w:r>
      <w:r>
        <w:rPr>
          <w:sz w:val="24"/>
        </w:rPr>
        <w:t>outro</w:t>
      </w:r>
      <w:r>
        <w:rPr>
          <w:spacing w:val="12"/>
          <w:sz w:val="24"/>
        </w:rPr>
        <w:t> </w:t>
      </w:r>
      <w:r>
        <w:rPr>
          <w:sz w:val="24"/>
        </w:rPr>
        <w:t>exposto</w:t>
      </w:r>
      <w:r>
        <w:rPr>
          <w:spacing w:val="12"/>
          <w:sz w:val="24"/>
        </w:rPr>
        <w:t> </w:t>
      </w:r>
      <w:r>
        <w:rPr>
          <w:sz w:val="24"/>
        </w:rPr>
        <w:t>no</w:t>
      </w:r>
      <w:r>
        <w:rPr>
          <w:spacing w:val="6"/>
          <w:sz w:val="24"/>
        </w:rPr>
        <w:t> </w:t>
      </w:r>
      <w:r>
        <w:rPr>
          <w:spacing w:val="-3"/>
          <w:sz w:val="24"/>
        </w:rPr>
        <w:t>Taboleiro</w:t>
      </w:r>
    </w:p>
    <w:p>
      <w:pPr>
        <w:spacing w:before="9"/>
        <w:ind w:left="1697" w:right="1700" w:firstLine="0"/>
        <w:jc w:val="both"/>
        <w:rPr>
          <w:sz w:val="24"/>
        </w:rPr>
      </w:pPr>
      <w:r>
        <w:rPr/>
        <w:pict>
          <v:shape style="position:absolute;margin-left:535.991211pt;margin-top:54.995926pt;width:32.9pt;height:247.2pt;mso-position-horizontal-relative:page;mso-position-vertical-relative:paragraph;z-index:2008" type="#_x0000_t202" filled="false" stroked="false">
            <v:textbox inset="0,0,0,0" style="layout-flow:vertical;mso-layout-flow-alt:bottom-to-top">
              <w:txbxContent>
                <w:p>
                  <w:pPr>
                    <w:spacing w:line="417" w:lineRule="exact" w:before="20"/>
                    <w:ind w:left="20" w:right="0" w:firstLine="0"/>
                    <w:jc w:val="left"/>
                    <w:rPr>
                      <w:rFonts w:ascii="Tahoma"/>
                      <w:sz w:val="36"/>
                    </w:rPr>
                  </w:pPr>
                  <w:r>
                    <w:rPr>
                      <w:rFonts w:ascii="Tahoma"/>
                      <w:sz w:val="36"/>
                    </w:rPr>
                    <w:t>INFORMES DE INTERVENCION</w:t>
                  </w:r>
                </w:p>
                <w:p>
                  <w:pPr>
                    <w:spacing w:line="200" w:lineRule="exact" w:before="0"/>
                    <w:ind w:left="40" w:right="0" w:firstLine="0"/>
                    <w:jc w:val="left"/>
                    <w:rPr>
                      <w:rFonts w:ascii="Tahoma" w:hAnsi="Tahoma"/>
                      <w:sz w:val="18"/>
                    </w:rPr>
                  </w:pPr>
                  <w:r>
                    <w:rPr>
                      <w:rFonts w:ascii="Tahoma" w:hAnsi="Tahoma"/>
                      <w:sz w:val="18"/>
                    </w:rPr>
                    <w:t>Número: 2017-0003 Fecha: 16/01/2017</w:t>
                  </w:r>
                </w:p>
              </w:txbxContent>
            </v:textbox>
            <w10:wrap type="none"/>
          </v:shape>
        </w:pict>
      </w:r>
      <w:r>
        <w:rPr>
          <w:sz w:val="24"/>
        </w:rPr>
        <w:t>de Anuncios da Corporación. O prazo empezarase a contar desde o día seguinte á publicación do anuncio no Boletín Oficial da Provincia. Son hábiles tódolos días nos que estea aberto o Rexistro de entrada do Concello. Só poderán presentarse reclamacións que estean fundadas nalgúns dos seguintes motivos:</w:t>
      </w:r>
    </w:p>
    <w:p>
      <w:pPr>
        <w:pStyle w:val="BodyText"/>
        <w:rPr>
          <w:sz w:val="26"/>
        </w:rPr>
      </w:pPr>
    </w:p>
    <w:p>
      <w:pPr>
        <w:pStyle w:val="ListParagraph"/>
        <w:numPr>
          <w:ilvl w:val="0"/>
          <w:numId w:val="7"/>
        </w:numPr>
        <w:tabs>
          <w:tab w:pos="3329" w:val="left" w:leader="none"/>
          <w:tab w:pos="3330" w:val="left" w:leader="none"/>
        </w:tabs>
        <w:spacing w:line="240" w:lineRule="auto" w:before="217" w:after="0"/>
        <w:ind w:left="2444" w:right="1696" w:hanging="360"/>
        <w:jc w:val="both"/>
        <w:rPr>
          <w:sz w:val="24"/>
        </w:rPr>
      </w:pPr>
      <w:r>
        <w:rPr>
          <w:sz w:val="24"/>
        </w:rPr>
        <w:t>Incumprimento do procedemento previsto legalmente, por omisión dalgún trámite ou</w:t>
      </w:r>
      <w:r>
        <w:rPr>
          <w:spacing w:val="0"/>
          <w:sz w:val="24"/>
        </w:rPr>
        <w:t> </w:t>
      </w:r>
      <w:r>
        <w:rPr>
          <w:sz w:val="24"/>
        </w:rPr>
        <w:t>requisito.</w:t>
      </w:r>
    </w:p>
    <w:p>
      <w:pPr>
        <w:pStyle w:val="ListParagraph"/>
        <w:numPr>
          <w:ilvl w:val="0"/>
          <w:numId w:val="7"/>
        </w:numPr>
        <w:tabs>
          <w:tab w:pos="3329" w:val="left" w:leader="none"/>
          <w:tab w:pos="3330" w:val="left" w:leader="none"/>
        </w:tabs>
        <w:spacing w:line="240" w:lineRule="auto" w:before="120" w:after="0"/>
        <w:ind w:left="2444" w:right="1697" w:hanging="360"/>
        <w:jc w:val="both"/>
        <w:rPr>
          <w:sz w:val="24"/>
        </w:rPr>
      </w:pPr>
      <w:r>
        <w:rPr>
          <w:sz w:val="24"/>
        </w:rPr>
        <w:t>Omisión do crédito necesario para o cumprimento das obrigas esixibles a este Concello, en virtude de precepto legal ou de calquera outro título lexítimo.</w:t>
      </w:r>
    </w:p>
    <w:p>
      <w:pPr>
        <w:pStyle w:val="ListParagraph"/>
        <w:numPr>
          <w:ilvl w:val="0"/>
          <w:numId w:val="7"/>
        </w:numPr>
        <w:tabs>
          <w:tab w:pos="3329" w:val="left" w:leader="none"/>
          <w:tab w:pos="3330" w:val="left" w:leader="none"/>
        </w:tabs>
        <w:spacing w:line="240" w:lineRule="auto" w:before="121" w:after="0"/>
        <w:ind w:left="2444" w:right="1697" w:hanging="360"/>
        <w:jc w:val="both"/>
        <w:rPr>
          <w:sz w:val="24"/>
        </w:rPr>
      </w:pPr>
      <w:r>
        <w:rPr>
          <w:sz w:val="24"/>
        </w:rPr>
        <w:t>Por ser de manifesta insuficiencia os ingresos con relación ós gastos presupostados ou ben de estes últimos con respecto ás necesidades da Corporación.</w:t>
      </w:r>
    </w:p>
    <w:p>
      <w:pPr>
        <w:pStyle w:val="BodyText"/>
        <w:rPr>
          <w:sz w:val="26"/>
        </w:rPr>
      </w:pPr>
    </w:p>
    <w:p>
      <w:pPr>
        <w:pStyle w:val="ListParagraph"/>
        <w:numPr>
          <w:ilvl w:val="4"/>
          <w:numId w:val="5"/>
        </w:numPr>
        <w:tabs>
          <w:tab w:pos="1773" w:val="left" w:leader="none"/>
          <w:tab w:pos="1774" w:val="left" w:leader="none"/>
        </w:tabs>
        <w:spacing w:line="201" w:lineRule="auto" w:before="193" w:after="0"/>
        <w:ind w:left="1698" w:right="1699" w:hanging="284"/>
        <w:jc w:val="left"/>
        <w:rPr>
          <w:rFonts w:ascii="Arial Unicode MS" w:hAnsi="Arial Unicode MS"/>
          <w:sz w:val="22"/>
        </w:rPr>
      </w:pPr>
      <w:r>
        <w:rPr>
          <w:sz w:val="24"/>
        </w:rPr>
        <w:t>No caso de que non se presentasen reclamacións, o Orzamento e os seus anexos quedarían definitivamente aprobados, sendo necesaria a publicación do resumo</w:t>
      </w:r>
      <w:r>
        <w:rPr>
          <w:spacing w:val="31"/>
          <w:sz w:val="24"/>
        </w:rPr>
        <w:t> </w:t>
      </w:r>
      <w:r>
        <w:rPr>
          <w:sz w:val="24"/>
        </w:rPr>
        <w:t>por</w:t>
      </w:r>
    </w:p>
    <w:p>
      <w:pPr>
        <w:spacing w:before="8"/>
        <w:ind w:left="1697" w:right="1700" w:firstLine="0"/>
        <w:jc w:val="both"/>
        <w:rPr>
          <w:sz w:val="24"/>
        </w:rPr>
      </w:pPr>
      <w:r>
        <w:rPr/>
        <w:drawing>
          <wp:anchor distT="0" distB="0" distL="0" distR="0" allowOverlap="1" layoutInCell="1" locked="0" behindDoc="0" simplePos="0" relativeHeight="1984">
            <wp:simplePos x="0" y="0"/>
            <wp:positionH relativeFrom="page">
              <wp:posOffset>6871850</wp:posOffset>
            </wp:positionH>
            <wp:positionV relativeFrom="paragraph">
              <wp:posOffset>694729</wp:posOffset>
            </wp:positionV>
            <wp:extent cx="328070" cy="3911600"/>
            <wp:effectExtent l="0" t="0" r="0" b="0"/>
            <wp:wrapNone/>
            <wp:docPr id="33" name="image3.png" descr=""/>
            <wp:cNvGraphicFramePr>
              <a:graphicFrameLocks noChangeAspect="1"/>
            </wp:cNvGraphicFramePr>
            <a:graphic>
              <a:graphicData uri="http://schemas.openxmlformats.org/drawingml/2006/picture">
                <pic:pic>
                  <pic:nvPicPr>
                    <pic:cNvPr id="34" name="image3.png"/>
                    <pic:cNvPicPr/>
                  </pic:nvPicPr>
                  <pic:blipFill>
                    <a:blip r:embed="rId7" cstate="print"/>
                    <a:stretch>
                      <a:fillRect/>
                    </a:stretch>
                  </pic:blipFill>
                  <pic:spPr>
                    <a:xfrm>
                      <a:off x="0" y="0"/>
                      <a:ext cx="328070" cy="3911600"/>
                    </a:xfrm>
                    <a:prstGeom prst="rect">
                      <a:avLst/>
                    </a:prstGeom>
                  </pic:spPr>
                </pic:pic>
              </a:graphicData>
            </a:graphic>
          </wp:anchor>
        </w:drawing>
      </w:r>
      <w:r>
        <w:rPr>
          <w:sz w:val="24"/>
        </w:rPr>
        <w:t>capítulos e da plantilla para que se produza a súa entrada en vigor. De presentarse reclamacións, o Pleno deberá resolvelas no prazo dun mes desde a finalización do prazo de reclamacións (artigo 169.1 do TRLRFL). Unha vez tomado o acordo definitivo que proceda, procederase a súa publicación nos termos indicados anteriormente.</w:t>
      </w:r>
    </w:p>
    <w:p>
      <w:pPr>
        <w:pStyle w:val="BodyText"/>
        <w:rPr>
          <w:sz w:val="26"/>
        </w:rPr>
      </w:pPr>
    </w:p>
    <w:p>
      <w:pPr>
        <w:pStyle w:val="ListParagraph"/>
        <w:numPr>
          <w:ilvl w:val="4"/>
          <w:numId w:val="5"/>
        </w:numPr>
        <w:tabs>
          <w:tab w:pos="1773" w:val="left" w:leader="none"/>
          <w:tab w:pos="1774" w:val="left" w:leader="none"/>
        </w:tabs>
        <w:spacing w:line="199" w:lineRule="auto" w:before="194" w:after="0"/>
        <w:ind w:left="1698" w:right="1701" w:hanging="284"/>
        <w:jc w:val="left"/>
        <w:rPr>
          <w:rFonts w:ascii="Arial Unicode MS" w:hAnsi="Arial Unicode MS"/>
          <w:sz w:val="24"/>
        </w:rPr>
      </w:pPr>
      <w:r>
        <w:rPr/>
        <w:pict>
          <v:shape style="position:absolute;margin-left:567.568359pt;margin-top:7.643045pt;width:14.75pt;height:272.75pt;mso-position-horizontal-relative:page;mso-position-vertical-relative:paragraph;z-index:2032" type="#_x0000_t202" filled="false" stroked="false">
            <v:textbox inset="0,0,0,0" style="layout-flow:vertical;mso-layout-flow-alt:bottom-to-top">
              <w:txbxContent>
                <w:p>
                  <w:pPr>
                    <w:spacing w:line="208" w:lineRule="auto" w:before="30"/>
                    <w:ind w:left="20" w:right="-19" w:firstLine="0"/>
                    <w:jc w:val="left"/>
                    <w:rPr>
                      <w:rFonts w:ascii="Arial" w:hAnsi="Arial"/>
                      <w:sz w:val="12"/>
                    </w:rPr>
                  </w:pPr>
                  <w:r>
                    <w:rPr>
                      <w:rFonts w:ascii="Arial" w:hAnsi="Arial"/>
                      <w:sz w:val="12"/>
                    </w:rPr>
                    <w:t>Cód. Validación: 33WNZF323J3CGDNHHLHEK9G29 | Verificación:</w:t>
                  </w:r>
                  <w:hyperlink r:id="rId8">
                    <w:r>
                      <w:rPr>
                        <w:rFonts w:ascii="Arial" w:hAnsi="Arial"/>
                        <w:sz w:val="12"/>
                      </w:rPr>
                      <w:t> http://ortigueira.sedelectronica.es/</w:t>
                    </w:r>
                  </w:hyperlink>
                  <w:r>
                    <w:rPr>
                      <w:rFonts w:ascii="Arial" w:hAnsi="Arial"/>
                      <w:sz w:val="12"/>
                    </w:rPr>
                    <w:t> Documento firmado electrónicamente desde la plataforma esPublico Gestiona | Página 11 de 11</w:t>
                  </w:r>
                </w:p>
              </w:txbxContent>
            </v:textbox>
            <w10:wrap type="none"/>
          </v:shape>
        </w:pict>
      </w:r>
      <w:r>
        <w:rPr>
          <w:sz w:val="24"/>
        </w:rPr>
        <w:t>Contra a aprobación definitiva do Orzamento só poderá interponerse Recurso contencioso-administrativo perante a Sala do contencioso-administrativo</w:t>
      </w:r>
      <w:r>
        <w:rPr>
          <w:spacing w:val="0"/>
          <w:sz w:val="24"/>
        </w:rPr>
        <w:t> </w:t>
      </w:r>
      <w:r>
        <w:rPr>
          <w:sz w:val="24"/>
        </w:rPr>
        <w:t>do</w:t>
      </w:r>
    </w:p>
    <w:p>
      <w:pPr>
        <w:spacing w:before="9"/>
        <w:ind w:left="1697" w:right="1710" w:firstLine="0"/>
        <w:jc w:val="both"/>
        <w:rPr>
          <w:sz w:val="24"/>
        </w:rPr>
      </w:pPr>
      <w:r>
        <w:rPr>
          <w:sz w:val="24"/>
        </w:rPr>
        <w:t>Tribunal Superior de Xustiza de Galicia, no prazo de dous meses contados desde a publicación definitiva do acordo no Boletín Oficial da Provincia.</w:t>
      </w:r>
    </w:p>
    <w:p>
      <w:pPr>
        <w:pStyle w:val="BodyText"/>
        <w:rPr>
          <w:sz w:val="26"/>
        </w:rPr>
      </w:pPr>
    </w:p>
    <w:p>
      <w:pPr>
        <w:pStyle w:val="BodyText"/>
        <w:spacing w:before="4"/>
        <w:rPr>
          <w:sz w:val="28"/>
        </w:rPr>
      </w:pPr>
    </w:p>
    <w:p>
      <w:pPr>
        <w:pStyle w:val="BodyText"/>
        <w:ind w:left="1243" w:right="1698" w:firstLine="708"/>
        <w:jc w:val="both"/>
      </w:pPr>
      <w:r>
        <w:rPr/>
        <w:t>En virtude de todo o exposto, a funcionaria asinante, no cumprimento da función interventora, emite o presente informe sobre o Proxecto de Orzamento presentado polo Alcalde-Presidente, coas observacións manifestadas e reiterando con respecto á regra de gasto que será no momento da liquidación e cos datos reais de execución orzamentaria onde se realizará o informe de cumprimento ou incumprimento da mesma e no momento no que se concluirá a necesidade ou non de realizar plan de axuste.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1960;mso-wrap-distance-left:0;mso-wrap-distance-right:0" from="85.099998pt,8.146416pt" to="510.199998pt,8.146416pt" stroked="true" strokeweight=".5pt" strokecolor="#000000">
            <v:stroke dashstyle="solid"/>
            <w10:wrap type="topAndBottom"/>
          </v:line>
        </w:pict>
      </w:r>
    </w:p>
    <w:p>
      <w:pPr>
        <w:pStyle w:val="Heading4"/>
        <w:ind w:left="2687" w:right="3137"/>
      </w:pPr>
      <w:r>
        <w:rPr/>
        <w:t>Concello de Ortigueira</w:t>
      </w:r>
    </w:p>
    <w:p>
      <w:pPr>
        <w:spacing w:before="121"/>
        <w:ind w:left="2689" w:right="3137" w:firstLine="0"/>
        <w:jc w:val="center"/>
        <w:rPr>
          <w:sz w:val="16"/>
        </w:rPr>
      </w:pPr>
      <w:r>
        <w:rPr>
          <w:sz w:val="16"/>
        </w:rPr>
        <w:t>Plaza de Isabel II, s/n, Ortigueira. 15330 A Coruña. Tfno. 981400000. Fax: 981402536</w:t>
      </w:r>
    </w:p>
    <w:sectPr>
      <w:headerReference w:type="default" r:id="rId17"/>
      <w:pgSz w:w="11900" w:h="16840"/>
      <w:pgMar w:header="0" w:footer="0" w:top="700" w:bottom="0" w:left="4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Tahoma">
    <w:altName w:val="Tahoma"/>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12567">
          <wp:simplePos x="0" y="0"/>
          <wp:positionH relativeFrom="page">
            <wp:posOffset>1083842</wp:posOffset>
          </wp:positionH>
          <wp:positionV relativeFrom="page">
            <wp:posOffset>450850</wp:posOffset>
          </wp:positionV>
          <wp:extent cx="531597" cy="69595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531597" cy="69595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28.399994pt;margin-top:90.024414pt;width:138.75pt;height:17.55pt;mso-position-horizontal-relative:page;mso-position-vertical-relative:page;z-index:-22864" type="#_x0000_t202" filled="false" stroked="false">
          <v:textbox inset="0,0,0,0">
            <w:txbxContent>
              <w:p>
                <w:pPr>
                  <w:spacing w:before="8"/>
                  <w:ind w:left="20" w:right="0" w:firstLine="0"/>
                  <w:jc w:val="left"/>
                  <w:rPr>
                    <w:b/>
                    <w:sz w:val="28"/>
                  </w:rPr>
                </w:pPr>
                <w:r>
                  <w:rPr>
                    <w:b/>
                    <w:sz w:val="28"/>
                  </w:rPr>
                  <w:t>Concello de Ortigueira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12615">
          <wp:simplePos x="0" y="0"/>
          <wp:positionH relativeFrom="page">
            <wp:posOffset>1083842</wp:posOffset>
          </wp:positionH>
          <wp:positionV relativeFrom="page">
            <wp:posOffset>450850</wp:posOffset>
          </wp:positionV>
          <wp:extent cx="531597" cy="695959"/>
          <wp:effectExtent l="0" t="0" r="0" b="0"/>
          <wp:wrapNone/>
          <wp:docPr id="7" name="image1.jpeg" descr=""/>
          <wp:cNvGraphicFramePr>
            <a:graphicFrameLocks noChangeAspect="1"/>
          </wp:cNvGraphicFramePr>
          <a:graphic>
            <a:graphicData uri="http://schemas.openxmlformats.org/drawingml/2006/picture">
              <pic:pic>
                <pic:nvPicPr>
                  <pic:cNvPr id="8" name="image1.jpeg"/>
                  <pic:cNvPicPr/>
                </pic:nvPicPr>
                <pic:blipFill>
                  <a:blip r:embed="rId1" cstate="print"/>
                  <a:stretch>
                    <a:fillRect/>
                  </a:stretch>
                </pic:blipFill>
                <pic:spPr>
                  <a:xfrm>
                    <a:off x="0" y="0"/>
                    <a:ext cx="531597" cy="695959"/>
                  </a:xfrm>
                  <a:prstGeom prst="rect">
                    <a:avLst/>
                  </a:prstGeom>
                </pic:spPr>
              </pic:pic>
            </a:graphicData>
          </a:graphic>
        </wp:anchor>
      </w:drawing>
    </w:r>
    <w:r>
      <w:rPr/>
      <w:pict>
        <v:line style="position:absolute;mso-position-horizontal-relative:page;mso-position-vertical-relative:page;z-index:-22816" from="85.099998pt,111.75pt" to="510.199998pt,111.75pt" stroked="true" strokeweight=".5pt" strokecolor="#000000">
          <v:stroke dashstyle="solid"/>
          <w10:wrap type="none"/>
        </v:line>
      </w:pict>
    </w:r>
    <w:r>
      <w:rPr/>
      <w:pict>
        <v:shape style="position:absolute;margin-left:228.399994pt;margin-top:90.024414pt;width:138.75pt;height:17.55pt;mso-position-horizontal-relative:page;mso-position-vertical-relative:page;z-index:-22792" type="#_x0000_t202" filled="false" stroked="false">
          <v:textbox inset="0,0,0,0">
            <w:txbxContent>
              <w:p>
                <w:pPr>
                  <w:spacing w:before="8"/>
                  <w:ind w:left="20" w:right="0" w:firstLine="0"/>
                  <w:jc w:val="left"/>
                  <w:rPr>
                    <w:b/>
                    <w:sz w:val="28"/>
                  </w:rPr>
                </w:pPr>
                <w:r>
                  <w:rPr>
                    <w:b/>
                    <w:sz w:val="28"/>
                  </w:rPr>
                  <w:t>Concello de Ortigueira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12687">
          <wp:simplePos x="0" y="0"/>
          <wp:positionH relativeFrom="page">
            <wp:posOffset>1083842</wp:posOffset>
          </wp:positionH>
          <wp:positionV relativeFrom="page">
            <wp:posOffset>450850</wp:posOffset>
          </wp:positionV>
          <wp:extent cx="531597" cy="695959"/>
          <wp:effectExtent l="0" t="0" r="0" b="0"/>
          <wp:wrapNone/>
          <wp:docPr id="21" name="image1.jpeg" descr=""/>
          <wp:cNvGraphicFramePr>
            <a:graphicFrameLocks noChangeAspect="1"/>
          </wp:cNvGraphicFramePr>
          <a:graphic>
            <a:graphicData uri="http://schemas.openxmlformats.org/drawingml/2006/picture">
              <pic:pic>
                <pic:nvPicPr>
                  <pic:cNvPr id="22" name="image1.jpeg"/>
                  <pic:cNvPicPr/>
                </pic:nvPicPr>
                <pic:blipFill>
                  <a:blip r:embed="rId1" cstate="print"/>
                  <a:stretch>
                    <a:fillRect/>
                  </a:stretch>
                </pic:blipFill>
                <pic:spPr>
                  <a:xfrm>
                    <a:off x="0" y="0"/>
                    <a:ext cx="531597" cy="695959"/>
                  </a:xfrm>
                  <a:prstGeom prst="rect">
                    <a:avLst/>
                  </a:prstGeom>
                </pic:spPr>
              </pic:pic>
            </a:graphicData>
          </a:graphic>
        </wp:anchor>
      </w:drawing>
    </w:r>
    <w:r>
      <w:rPr/>
      <w:pict>
        <v:line style="position:absolute;mso-position-horizontal-relative:page;mso-position-vertical-relative:page;z-index:-22744" from="85.099998pt,111.75pt" to="510.199998pt,111.75pt" stroked="true" strokeweight=".5pt" strokecolor="#000000">
          <v:stroke dashstyle="solid"/>
          <w10:wrap type="none"/>
        </v:line>
      </w:pict>
    </w:r>
    <w:r>
      <w:rPr/>
      <w:pict>
        <v:shape style="position:absolute;margin-left:228.399994pt;margin-top:90.024414pt;width:138.75pt;height:17.55pt;mso-position-horizontal-relative:page;mso-position-vertical-relative:page;z-index:-22720" type="#_x0000_t202" filled="false" stroked="false">
          <v:textbox inset="0,0,0,0">
            <w:txbxContent>
              <w:p>
                <w:pPr>
                  <w:spacing w:before="8"/>
                  <w:ind w:left="20" w:right="0" w:firstLine="0"/>
                  <w:jc w:val="left"/>
                  <w:rPr>
                    <w:b/>
                    <w:sz w:val="28"/>
                  </w:rPr>
                </w:pPr>
                <w:r>
                  <w:rPr>
                    <w:b/>
                    <w:sz w:val="28"/>
                  </w:rPr>
                  <w:t>Concello de Ortigueira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lowerLetter"/>
      <w:lvlText w:val="%1)"/>
      <w:lvlJc w:val="left"/>
      <w:pPr>
        <w:ind w:left="2444" w:hanging="1246"/>
        <w:jc w:val="left"/>
      </w:pPr>
      <w:rPr>
        <w:rFonts w:hint="default" w:ascii="Times New Roman" w:hAnsi="Times New Roman" w:eastAsia="Times New Roman" w:cs="Times New Roman"/>
        <w:spacing w:val="-15"/>
        <w:w w:val="100"/>
        <w:sz w:val="24"/>
        <w:szCs w:val="24"/>
        <w:lang w:val="en-us" w:eastAsia="en-us" w:bidi="en-us"/>
      </w:rPr>
    </w:lvl>
    <w:lvl w:ilvl="1">
      <w:start w:val="0"/>
      <w:numFmt w:val="bullet"/>
      <w:lvlText w:val="•"/>
      <w:lvlJc w:val="left"/>
      <w:pPr>
        <w:ind w:left="3340" w:hanging="1246"/>
      </w:pPr>
      <w:rPr>
        <w:rFonts w:hint="default"/>
        <w:lang w:val="en-us" w:eastAsia="en-us" w:bidi="en-us"/>
      </w:rPr>
    </w:lvl>
    <w:lvl w:ilvl="2">
      <w:start w:val="0"/>
      <w:numFmt w:val="bullet"/>
      <w:lvlText w:val="•"/>
      <w:lvlJc w:val="left"/>
      <w:pPr>
        <w:ind w:left="4240" w:hanging="1246"/>
      </w:pPr>
      <w:rPr>
        <w:rFonts w:hint="default"/>
        <w:lang w:val="en-us" w:eastAsia="en-us" w:bidi="en-us"/>
      </w:rPr>
    </w:lvl>
    <w:lvl w:ilvl="3">
      <w:start w:val="0"/>
      <w:numFmt w:val="bullet"/>
      <w:lvlText w:val="•"/>
      <w:lvlJc w:val="left"/>
      <w:pPr>
        <w:ind w:left="5140" w:hanging="1246"/>
      </w:pPr>
      <w:rPr>
        <w:rFonts w:hint="default"/>
        <w:lang w:val="en-us" w:eastAsia="en-us" w:bidi="en-us"/>
      </w:rPr>
    </w:lvl>
    <w:lvl w:ilvl="4">
      <w:start w:val="0"/>
      <w:numFmt w:val="bullet"/>
      <w:lvlText w:val="•"/>
      <w:lvlJc w:val="left"/>
      <w:pPr>
        <w:ind w:left="6040" w:hanging="1246"/>
      </w:pPr>
      <w:rPr>
        <w:rFonts w:hint="default"/>
        <w:lang w:val="en-us" w:eastAsia="en-us" w:bidi="en-us"/>
      </w:rPr>
    </w:lvl>
    <w:lvl w:ilvl="5">
      <w:start w:val="0"/>
      <w:numFmt w:val="bullet"/>
      <w:lvlText w:val="•"/>
      <w:lvlJc w:val="left"/>
      <w:pPr>
        <w:ind w:left="6940" w:hanging="1246"/>
      </w:pPr>
      <w:rPr>
        <w:rFonts w:hint="default"/>
        <w:lang w:val="en-us" w:eastAsia="en-us" w:bidi="en-us"/>
      </w:rPr>
    </w:lvl>
    <w:lvl w:ilvl="6">
      <w:start w:val="0"/>
      <w:numFmt w:val="bullet"/>
      <w:lvlText w:val="•"/>
      <w:lvlJc w:val="left"/>
      <w:pPr>
        <w:ind w:left="7840" w:hanging="1246"/>
      </w:pPr>
      <w:rPr>
        <w:rFonts w:hint="default"/>
        <w:lang w:val="en-us" w:eastAsia="en-us" w:bidi="en-us"/>
      </w:rPr>
    </w:lvl>
    <w:lvl w:ilvl="7">
      <w:start w:val="0"/>
      <w:numFmt w:val="bullet"/>
      <w:lvlText w:val="•"/>
      <w:lvlJc w:val="left"/>
      <w:pPr>
        <w:ind w:left="8740" w:hanging="1246"/>
      </w:pPr>
      <w:rPr>
        <w:rFonts w:hint="default"/>
        <w:lang w:val="en-us" w:eastAsia="en-us" w:bidi="en-us"/>
      </w:rPr>
    </w:lvl>
    <w:lvl w:ilvl="8">
      <w:start w:val="0"/>
      <w:numFmt w:val="bullet"/>
      <w:lvlText w:val="•"/>
      <w:lvlJc w:val="left"/>
      <w:pPr>
        <w:ind w:left="9640" w:hanging="1246"/>
      </w:pPr>
      <w:rPr>
        <w:rFonts w:hint="default"/>
        <w:lang w:val="en-us" w:eastAsia="en-us" w:bidi="en-us"/>
      </w:rPr>
    </w:lvl>
  </w:abstractNum>
  <w:abstractNum w:abstractNumId="5">
    <w:multiLevelType w:val="hybridMultilevel"/>
    <w:lvl w:ilvl="0">
      <w:start w:val="0"/>
      <w:numFmt w:val="bullet"/>
      <w:lvlText w:val="-"/>
      <w:lvlJc w:val="left"/>
      <w:pPr>
        <w:ind w:left="1244" w:hanging="330"/>
      </w:pPr>
      <w:rPr>
        <w:rFonts w:hint="default" w:ascii="Times New Roman" w:hAnsi="Times New Roman" w:eastAsia="Times New Roman" w:cs="Times New Roman"/>
        <w:spacing w:val="-17"/>
        <w:w w:val="100"/>
        <w:sz w:val="22"/>
        <w:szCs w:val="22"/>
        <w:lang w:val="en-us" w:eastAsia="en-us" w:bidi="en-us"/>
      </w:rPr>
    </w:lvl>
    <w:lvl w:ilvl="1">
      <w:start w:val="0"/>
      <w:numFmt w:val="bullet"/>
      <w:lvlText w:val="•"/>
      <w:lvlJc w:val="left"/>
      <w:pPr>
        <w:ind w:left="2260" w:hanging="330"/>
      </w:pPr>
      <w:rPr>
        <w:rFonts w:hint="default"/>
        <w:lang w:val="en-us" w:eastAsia="en-us" w:bidi="en-us"/>
      </w:rPr>
    </w:lvl>
    <w:lvl w:ilvl="2">
      <w:start w:val="0"/>
      <w:numFmt w:val="bullet"/>
      <w:lvlText w:val="•"/>
      <w:lvlJc w:val="left"/>
      <w:pPr>
        <w:ind w:left="3280" w:hanging="330"/>
      </w:pPr>
      <w:rPr>
        <w:rFonts w:hint="default"/>
        <w:lang w:val="en-us" w:eastAsia="en-us" w:bidi="en-us"/>
      </w:rPr>
    </w:lvl>
    <w:lvl w:ilvl="3">
      <w:start w:val="0"/>
      <w:numFmt w:val="bullet"/>
      <w:lvlText w:val="•"/>
      <w:lvlJc w:val="left"/>
      <w:pPr>
        <w:ind w:left="4300" w:hanging="330"/>
      </w:pPr>
      <w:rPr>
        <w:rFonts w:hint="default"/>
        <w:lang w:val="en-us" w:eastAsia="en-us" w:bidi="en-us"/>
      </w:rPr>
    </w:lvl>
    <w:lvl w:ilvl="4">
      <w:start w:val="0"/>
      <w:numFmt w:val="bullet"/>
      <w:lvlText w:val="•"/>
      <w:lvlJc w:val="left"/>
      <w:pPr>
        <w:ind w:left="5320" w:hanging="330"/>
      </w:pPr>
      <w:rPr>
        <w:rFonts w:hint="default"/>
        <w:lang w:val="en-us" w:eastAsia="en-us" w:bidi="en-us"/>
      </w:rPr>
    </w:lvl>
    <w:lvl w:ilvl="5">
      <w:start w:val="0"/>
      <w:numFmt w:val="bullet"/>
      <w:lvlText w:val="•"/>
      <w:lvlJc w:val="left"/>
      <w:pPr>
        <w:ind w:left="6340" w:hanging="330"/>
      </w:pPr>
      <w:rPr>
        <w:rFonts w:hint="default"/>
        <w:lang w:val="en-us" w:eastAsia="en-us" w:bidi="en-us"/>
      </w:rPr>
    </w:lvl>
    <w:lvl w:ilvl="6">
      <w:start w:val="0"/>
      <w:numFmt w:val="bullet"/>
      <w:lvlText w:val="•"/>
      <w:lvlJc w:val="left"/>
      <w:pPr>
        <w:ind w:left="7360" w:hanging="330"/>
      </w:pPr>
      <w:rPr>
        <w:rFonts w:hint="default"/>
        <w:lang w:val="en-us" w:eastAsia="en-us" w:bidi="en-us"/>
      </w:rPr>
    </w:lvl>
    <w:lvl w:ilvl="7">
      <w:start w:val="0"/>
      <w:numFmt w:val="bullet"/>
      <w:lvlText w:val="•"/>
      <w:lvlJc w:val="left"/>
      <w:pPr>
        <w:ind w:left="8380" w:hanging="330"/>
      </w:pPr>
      <w:rPr>
        <w:rFonts w:hint="default"/>
        <w:lang w:val="en-us" w:eastAsia="en-us" w:bidi="en-us"/>
      </w:rPr>
    </w:lvl>
    <w:lvl w:ilvl="8">
      <w:start w:val="0"/>
      <w:numFmt w:val="bullet"/>
      <w:lvlText w:val="•"/>
      <w:lvlJc w:val="left"/>
      <w:pPr>
        <w:ind w:left="9400" w:hanging="330"/>
      </w:pPr>
      <w:rPr>
        <w:rFonts w:hint="default"/>
        <w:lang w:val="en-us" w:eastAsia="en-us" w:bidi="en-us"/>
      </w:rPr>
    </w:lvl>
  </w:abstractNum>
  <w:abstractNum w:abstractNumId="4">
    <w:multiLevelType w:val="hybridMultilevel"/>
    <w:lvl w:ilvl="0">
      <w:start w:val="6"/>
      <w:numFmt w:val="upperLetter"/>
      <w:lvlText w:val="%1"/>
      <w:lvlJc w:val="left"/>
      <w:pPr>
        <w:ind w:left="196" w:hanging="500"/>
        <w:jc w:val="left"/>
      </w:pPr>
      <w:rPr>
        <w:rFonts w:hint="default"/>
        <w:lang w:val="en-us" w:eastAsia="en-us" w:bidi="en-us"/>
      </w:rPr>
    </w:lvl>
    <w:lvl w:ilvl="1">
      <w:start w:val="1"/>
      <w:numFmt w:val="decimal"/>
      <w:lvlText w:val="%1.%2"/>
      <w:lvlJc w:val="left"/>
      <w:pPr>
        <w:ind w:left="196" w:hanging="500"/>
        <w:jc w:val="left"/>
      </w:pPr>
      <w:rPr>
        <w:rFonts w:hint="default"/>
        <w:lang w:val="en-us" w:eastAsia="en-us" w:bidi="en-us"/>
      </w:rPr>
    </w:lvl>
    <w:lvl w:ilvl="2">
      <w:start w:val="1"/>
      <w:numFmt w:val="decimal"/>
      <w:lvlText w:val="%1.%2.%3."/>
      <w:lvlJc w:val="left"/>
      <w:pPr>
        <w:ind w:left="196" w:hanging="500"/>
        <w:jc w:val="left"/>
      </w:pPr>
      <w:rPr>
        <w:rFonts w:hint="default"/>
        <w:spacing w:val="-23"/>
        <w:sz w:val="20"/>
        <w:szCs w:val="20"/>
        <w:u w:val="single" w:color="000000"/>
        <w:lang w:val="en-us" w:eastAsia="en-us" w:bidi="en-us"/>
      </w:rPr>
    </w:lvl>
    <w:lvl w:ilvl="3">
      <w:start w:val="1"/>
      <w:numFmt w:val="upperLetter"/>
      <w:lvlText w:val="%4)"/>
      <w:lvlJc w:val="left"/>
      <w:pPr>
        <w:ind w:left="1288" w:hanging="286"/>
        <w:jc w:val="left"/>
      </w:pPr>
      <w:rPr>
        <w:rFonts w:hint="default" w:ascii="Times New Roman" w:hAnsi="Times New Roman" w:eastAsia="Times New Roman" w:cs="Times New Roman"/>
        <w:spacing w:val="-1"/>
        <w:w w:val="100"/>
        <w:sz w:val="22"/>
        <w:szCs w:val="22"/>
        <w:lang w:val="en-us" w:eastAsia="en-us" w:bidi="en-us"/>
      </w:rPr>
    </w:lvl>
    <w:lvl w:ilvl="4">
      <w:start w:val="0"/>
      <w:numFmt w:val="bullet"/>
      <w:lvlText w:val="•"/>
      <w:lvlJc w:val="left"/>
      <w:pPr>
        <w:ind w:left="1698" w:hanging="360"/>
      </w:pPr>
      <w:rPr>
        <w:rFonts w:hint="default"/>
        <w:w w:val="131"/>
        <w:lang w:val="en-us" w:eastAsia="en-us" w:bidi="en-us"/>
      </w:rPr>
    </w:lvl>
    <w:lvl w:ilvl="5">
      <w:start w:val="0"/>
      <w:numFmt w:val="bullet"/>
      <w:lvlText w:val="•"/>
      <w:lvlJc w:val="left"/>
      <w:pPr>
        <w:ind w:left="1687" w:hanging="360"/>
      </w:pPr>
      <w:rPr>
        <w:rFonts w:hint="default"/>
        <w:lang w:val="en-us" w:eastAsia="en-us" w:bidi="en-us"/>
      </w:rPr>
    </w:lvl>
    <w:lvl w:ilvl="6">
      <w:start w:val="0"/>
      <w:numFmt w:val="bullet"/>
      <w:lvlText w:val="•"/>
      <w:lvlJc w:val="left"/>
      <w:pPr>
        <w:ind w:left="1683" w:hanging="360"/>
      </w:pPr>
      <w:rPr>
        <w:rFonts w:hint="default"/>
        <w:lang w:val="en-us" w:eastAsia="en-us" w:bidi="en-us"/>
      </w:rPr>
    </w:lvl>
    <w:lvl w:ilvl="7">
      <w:start w:val="0"/>
      <w:numFmt w:val="bullet"/>
      <w:lvlText w:val="•"/>
      <w:lvlJc w:val="left"/>
      <w:pPr>
        <w:ind w:left="1679" w:hanging="360"/>
      </w:pPr>
      <w:rPr>
        <w:rFonts w:hint="default"/>
        <w:lang w:val="en-us" w:eastAsia="en-us" w:bidi="en-us"/>
      </w:rPr>
    </w:lvl>
    <w:lvl w:ilvl="8">
      <w:start w:val="0"/>
      <w:numFmt w:val="bullet"/>
      <w:lvlText w:val="•"/>
      <w:lvlJc w:val="left"/>
      <w:pPr>
        <w:ind w:left="1675" w:hanging="360"/>
      </w:pPr>
      <w:rPr>
        <w:rFonts w:hint="default"/>
        <w:lang w:val="en-us" w:eastAsia="en-us" w:bidi="en-us"/>
      </w:rPr>
    </w:lvl>
  </w:abstractNum>
  <w:abstractNum w:abstractNumId="3">
    <w:multiLevelType w:val="hybridMultilevel"/>
    <w:lvl w:ilvl="0">
      <w:start w:val="2"/>
      <w:numFmt w:val="upperLetter"/>
      <w:lvlText w:val="%1)"/>
      <w:lvlJc w:val="left"/>
      <w:pPr>
        <w:ind w:left="1364" w:hanging="286"/>
        <w:jc w:val="left"/>
      </w:pPr>
      <w:rPr>
        <w:rFonts w:hint="default"/>
        <w:spacing w:val="-3"/>
        <w:u w:val="single" w:color="000000"/>
        <w:lang w:val="en-us" w:eastAsia="en-us" w:bidi="en-us"/>
      </w:rPr>
    </w:lvl>
    <w:lvl w:ilvl="1">
      <w:start w:val="0"/>
      <w:numFmt w:val="bullet"/>
      <w:lvlText w:val="•"/>
      <w:lvlJc w:val="left"/>
      <w:pPr>
        <w:ind w:left="2380" w:hanging="286"/>
      </w:pPr>
      <w:rPr>
        <w:rFonts w:hint="default"/>
        <w:lang w:val="en-us" w:eastAsia="en-us" w:bidi="en-us"/>
      </w:rPr>
    </w:lvl>
    <w:lvl w:ilvl="2">
      <w:start w:val="0"/>
      <w:numFmt w:val="bullet"/>
      <w:lvlText w:val="•"/>
      <w:lvlJc w:val="left"/>
      <w:pPr>
        <w:ind w:left="3400" w:hanging="286"/>
      </w:pPr>
      <w:rPr>
        <w:rFonts w:hint="default"/>
        <w:lang w:val="en-us" w:eastAsia="en-us" w:bidi="en-us"/>
      </w:rPr>
    </w:lvl>
    <w:lvl w:ilvl="3">
      <w:start w:val="0"/>
      <w:numFmt w:val="bullet"/>
      <w:lvlText w:val="•"/>
      <w:lvlJc w:val="left"/>
      <w:pPr>
        <w:ind w:left="4420" w:hanging="286"/>
      </w:pPr>
      <w:rPr>
        <w:rFonts w:hint="default"/>
        <w:lang w:val="en-us" w:eastAsia="en-us" w:bidi="en-us"/>
      </w:rPr>
    </w:lvl>
    <w:lvl w:ilvl="4">
      <w:start w:val="0"/>
      <w:numFmt w:val="bullet"/>
      <w:lvlText w:val="•"/>
      <w:lvlJc w:val="left"/>
      <w:pPr>
        <w:ind w:left="5440" w:hanging="286"/>
      </w:pPr>
      <w:rPr>
        <w:rFonts w:hint="default"/>
        <w:lang w:val="en-us" w:eastAsia="en-us" w:bidi="en-us"/>
      </w:rPr>
    </w:lvl>
    <w:lvl w:ilvl="5">
      <w:start w:val="0"/>
      <w:numFmt w:val="bullet"/>
      <w:lvlText w:val="•"/>
      <w:lvlJc w:val="left"/>
      <w:pPr>
        <w:ind w:left="6460" w:hanging="286"/>
      </w:pPr>
      <w:rPr>
        <w:rFonts w:hint="default"/>
        <w:lang w:val="en-us" w:eastAsia="en-us" w:bidi="en-us"/>
      </w:rPr>
    </w:lvl>
    <w:lvl w:ilvl="6">
      <w:start w:val="0"/>
      <w:numFmt w:val="bullet"/>
      <w:lvlText w:val="•"/>
      <w:lvlJc w:val="left"/>
      <w:pPr>
        <w:ind w:left="7480" w:hanging="286"/>
      </w:pPr>
      <w:rPr>
        <w:rFonts w:hint="default"/>
        <w:lang w:val="en-us" w:eastAsia="en-us" w:bidi="en-us"/>
      </w:rPr>
    </w:lvl>
    <w:lvl w:ilvl="7">
      <w:start w:val="0"/>
      <w:numFmt w:val="bullet"/>
      <w:lvlText w:val="•"/>
      <w:lvlJc w:val="left"/>
      <w:pPr>
        <w:ind w:left="8500" w:hanging="286"/>
      </w:pPr>
      <w:rPr>
        <w:rFonts w:hint="default"/>
        <w:lang w:val="en-us" w:eastAsia="en-us" w:bidi="en-us"/>
      </w:rPr>
    </w:lvl>
    <w:lvl w:ilvl="8">
      <w:start w:val="0"/>
      <w:numFmt w:val="bullet"/>
      <w:lvlText w:val="•"/>
      <w:lvlJc w:val="left"/>
      <w:pPr>
        <w:ind w:left="9520" w:hanging="286"/>
      </w:pPr>
      <w:rPr>
        <w:rFonts w:hint="default"/>
        <w:lang w:val="en-us" w:eastAsia="en-us" w:bidi="en-us"/>
      </w:rPr>
    </w:lvl>
  </w:abstractNum>
  <w:abstractNum w:abstractNumId="2">
    <w:multiLevelType w:val="hybridMultilevel"/>
    <w:lvl w:ilvl="0">
      <w:start w:val="0"/>
      <w:numFmt w:val="bullet"/>
      <w:lvlText w:val="-"/>
      <w:lvlJc w:val="left"/>
      <w:pPr>
        <w:ind w:left="2084" w:hanging="360"/>
      </w:pPr>
      <w:rPr>
        <w:rFonts w:hint="default" w:ascii="Times New Roman" w:hAnsi="Times New Roman" w:eastAsia="Times New Roman" w:cs="Times New Roman"/>
        <w:spacing w:val="-26"/>
        <w:w w:val="100"/>
        <w:sz w:val="22"/>
        <w:szCs w:val="22"/>
        <w:lang w:val="en-us" w:eastAsia="en-us" w:bidi="en-us"/>
      </w:rPr>
    </w:lvl>
    <w:lvl w:ilvl="1">
      <w:start w:val="0"/>
      <w:numFmt w:val="bullet"/>
      <w:lvlText w:val="•"/>
      <w:lvlJc w:val="left"/>
      <w:pPr>
        <w:ind w:left="3028" w:hanging="360"/>
      </w:pPr>
      <w:rPr>
        <w:rFonts w:hint="default"/>
        <w:lang w:val="en-us" w:eastAsia="en-us" w:bidi="en-us"/>
      </w:rPr>
    </w:lvl>
    <w:lvl w:ilvl="2">
      <w:start w:val="0"/>
      <w:numFmt w:val="bullet"/>
      <w:lvlText w:val="•"/>
      <w:lvlJc w:val="left"/>
      <w:pPr>
        <w:ind w:left="3976" w:hanging="360"/>
      </w:pPr>
      <w:rPr>
        <w:rFonts w:hint="default"/>
        <w:lang w:val="en-us" w:eastAsia="en-us" w:bidi="en-us"/>
      </w:rPr>
    </w:lvl>
    <w:lvl w:ilvl="3">
      <w:start w:val="0"/>
      <w:numFmt w:val="bullet"/>
      <w:lvlText w:val="•"/>
      <w:lvlJc w:val="left"/>
      <w:pPr>
        <w:ind w:left="4924" w:hanging="360"/>
      </w:pPr>
      <w:rPr>
        <w:rFonts w:hint="default"/>
        <w:lang w:val="en-us" w:eastAsia="en-us" w:bidi="en-us"/>
      </w:rPr>
    </w:lvl>
    <w:lvl w:ilvl="4">
      <w:start w:val="0"/>
      <w:numFmt w:val="bullet"/>
      <w:lvlText w:val="•"/>
      <w:lvlJc w:val="left"/>
      <w:pPr>
        <w:ind w:left="5872" w:hanging="360"/>
      </w:pPr>
      <w:rPr>
        <w:rFonts w:hint="default"/>
        <w:lang w:val="en-us" w:eastAsia="en-us" w:bidi="en-us"/>
      </w:rPr>
    </w:lvl>
    <w:lvl w:ilvl="5">
      <w:start w:val="0"/>
      <w:numFmt w:val="bullet"/>
      <w:lvlText w:val="•"/>
      <w:lvlJc w:val="left"/>
      <w:pPr>
        <w:ind w:left="6820" w:hanging="360"/>
      </w:pPr>
      <w:rPr>
        <w:rFonts w:hint="default"/>
        <w:lang w:val="en-us" w:eastAsia="en-us" w:bidi="en-us"/>
      </w:rPr>
    </w:lvl>
    <w:lvl w:ilvl="6">
      <w:start w:val="0"/>
      <w:numFmt w:val="bullet"/>
      <w:lvlText w:val="•"/>
      <w:lvlJc w:val="left"/>
      <w:pPr>
        <w:ind w:left="7768" w:hanging="360"/>
      </w:pPr>
      <w:rPr>
        <w:rFonts w:hint="default"/>
        <w:lang w:val="en-us" w:eastAsia="en-us" w:bidi="en-us"/>
      </w:rPr>
    </w:lvl>
    <w:lvl w:ilvl="7">
      <w:start w:val="0"/>
      <w:numFmt w:val="bullet"/>
      <w:lvlText w:val="•"/>
      <w:lvlJc w:val="left"/>
      <w:pPr>
        <w:ind w:left="8716" w:hanging="360"/>
      </w:pPr>
      <w:rPr>
        <w:rFonts w:hint="default"/>
        <w:lang w:val="en-us" w:eastAsia="en-us" w:bidi="en-us"/>
      </w:rPr>
    </w:lvl>
    <w:lvl w:ilvl="8">
      <w:start w:val="0"/>
      <w:numFmt w:val="bullet"/>
      <w:lvlText w:val="•"/>
      <w:lvlJc w:val="left"/>
      <w:pPr>
        <w:ind w:left="9664" w:hanging="360"/>
      </w:pPr>
      <w:rPr>
        <w:rFonts w:hint="default"/>
        <w:lang w:val="en-us" w:eastAsia="en-us" w:bidi="en-us"/>
      </w:rPr>
    </w:lvl>
  </w:abstractNum>
  <w:abstractNum w:abstractNumId="1">
    <w:multiLevelType w:val="hybridMultilevel"/>
    <w:lvl w:ilvl="0">
      <w:start w:val="1"/>
      <w:numFmt w:val="decimal"/>
      <w:lvlText w:val="%1)"/>
      <w:lvlJc w:val="left"/>
      <w:pPr>
        <w:ind w:left="1364" w:hanging="303"/>
        <w:jc w:val="left"/>
      </w:pPr>
      <w:rPr>
        <w:rFonts w:hint="default"/>
        <w:u w:val="single" w:color="000000"/>
        <w:lang w:val="en-us" w:eastAsia="en-us" w:bidi="en-us"/>
      </w:rPr>
    </w:lvl>
    <w:lvl w:ilvl="1">
      <w:start w:val="0"/>
      <w:numFmt w:val="bullet"/>
      <w:lvlText w:val="•"/>
      <w:lvlJc w:val="left"/>
      <w:pPr>
        <w:ind w:left="1960" w:hanging="303"/>
      </w:pPr>
      <w:rPr>
        <w:rFonts w:hint="default"/>
        <w:lang w:val="en-us" w:eastAsia="en-us" w:bidi="en-us"/>
      </w:rPr>
    </w:lvl>
    <w:lvl w:ilvl="2">
      <w:start w:val="0"/>
      <w:numFmt w:val="bullet"/>
      <w:lvlText w:val="•"/>
      <w:lvlJc w:val="left"/>
      <w:pPr>
        <w:ind w:left="3013" w:hanging="303"/>
      </w:pPr>
      <w:rPr>
        <w:rFonts w:hint="default"/>
        <w:lang w:val="en-us" w:eastAsia="en-us" w:bidi="en-us"/>
      </w:rPr>
    </w:lvl>
    <w:lvl w:ilvl="3">
      <w:start w:val="0"/>
      <w:numFmt w:val="bullet"/>
      <w:lvlText w:val="•"/>
      <w:lvlJc w:val="left"/>
      <w:pPr>
        <w:ind w:left="4066" w:hanging="303"/>
      </w:pPr>
      <w:rPr>
        <w:rFonts w:hint="default"/>
        <w:lang w:val="en-us" w:eastAsia="en-us" w:bidi="en-us"/>
      </w:rPr>
    </w:lvl>
    <w:lvl w:ilvl="4">
      <w:start w:val="0"/>
      <w:numFmt w:val="bullet"/>
      <w:lvlText w:val="•"/>
      <w:lvlJc w:val="left"/>
      <w:pPr>
        <w:ind w:left="5120" w:hanging="303"/>
      </w:pPr>
      <w:rPr>
        <w:rFonts w:hint="default"/>
        <w:lang w:val="en-us" w:eastAsia="en-us" w:bidi="en-us"/>
      </w:rPr>
    </w:lvl>
    <w:lvl w:ilvl="5">
      <w:start w:val="0"/>
      <w:numFmt w:val="bullet"/>
      <w:lvlText w:val="•"/>
      <w:lvlJc w:val="left"/>
      <w:pPr>
        <w:ind w:left="6173" w:hanging="303"/>
      </w:pPr>
      <w:rPr>
        <w:rFonts w:hint="default"/>
        <w:lang w:val="en-us" w:eastAsia="en-us" w:bidi="en-us"/>
      </w:rPr>
    </w:lvl>
    <w:lvl w:ilvl="6">
      <w:start w:val="0"/>
      <w:numFmt w:val="bullet"/>
      <w:lvlText w:val="•"/>
      <w:lvlJc w:val="left"/>
      <w:pPr>
        <w:ind w:left="7226" w:hanging="303"/>
      </w:pPr>
      <w:rPr>
        <w:rFonts w:hint="default"/>
        <w:lang w:val="en-us" w:eastAsia="en-us" w:bidi="en-us"/>
      </w:rPr>
    </w:lvl>
    <w:lvl w:ilvl="7">
      <w:start w:val="0"/>
      <w:numFmt w:val="bullet"/>
      <w:lvlText w:val="•"/>
      <w:lvlJc w:val="left"/>
      <w:pPr>
        <w:ind w:left="8280" w:hanging="303"/>
      </w:pPr>
      <w:rPr>
        <w:rFonts w:hint="default"/>
        <w:lang w:val="en-us" w:eastAsia="en-us" w:bidi="en-us"/>
      </w:rPr>
    </w:lvl>
    <w:lvl w:ilvl="8">
      <w:start w:val="0"/>
      <w:numFmt w:val="bullet"/>
      <w:lvlText w:val="•"/>
      <w:lvlJc w:val="left"/>
      <w:pPr>
        <w:ind w:left="9333" w:hanging="303"/>
      </w:pPr>
      <w:rPr>
        <w:rFonts w:hint="default"/>
        <w:lang w:val="en-us" w:eastAsia="en-us" w:bidi="en-us"/>
      </w:rPr>
    </w:lvl>
  </w:abstractNum>
  <w:abstractNum w:abstractNumId="0">
    <w:multiLevelType w:val="hybridMultilevel"/>
    <w:lvl w:ilvl="0">
      <w:start w:val="1"/>
      <w:numFmt w:val="upperRoman"/>
      <w:lvlText w:val="%1)"/>
      <w:lvlJc w:val="left"/>
      <w:pPr>
        <w:ind w:left="1577" w:hanging="214"/>
        <w:jc w:val="left"/>
      </w:pPr>
      <w:rPr>
        <w:rFonts w:hint="default"/>
        <w:b/>
        <w:bCs/>
        <w:spacing w:val="-2"/>
        <w:w w:val="100"/>
        <w:lang w:val="en-us" w:eastAsia="en-us" w:bidi="en-us"/>
      </w:rPr>
    </w:lvl>
    <w:lvl w:ilvl="1">
      <w:start w:val="0"/>
      <w:numFmt w:val="bullet"/>
      <w:lvlText w:val="•"/>
      <w:lvlJc w:val="left"/>
      <w:pPr>
        <w:ind w:left="2790" w:hanging="360"/>
      </w:pPr>
      <w:rPr>
        <w:rFonts w:hint="default" w:ascii="Arial Unicode MS" w:hAnsi="Arial Unicode MS" w:eastAsia="Arial Unicode MS" w:cs="Arial Unicode MS"/>
        <w:w w:val="131"/>
        <w:sz w:val="22"/>
        <w:szCs w:val="22"/>
        <w:lang w:val="en-us" w:eastAsia="en-us" w:bidi="en-us"/>
      </w:rPr>
    </w:lvl>
    <w:lvl w:ilvl="2">
      <w:start w:val="0"/>
      <w:numFmt w:val="bullet"/>
      <w:lvlText w:val="•"/>
      <w:lvlJc w:val="left"/>
      <w:pPr>
        <w:ind w:left="2080" w:hanging="360"/>
      </w:pPr>
      <w:rPr>
        <w:rFonts w:hint="default"/>
        <w:lang w:val="en-us" w:eastAsia="en-us" w:bidi="en-us"/>
      </w:rPr>
    </w:lvl>
    <w:lvl w:ilvl="3">
      <w:start w:val="0"/>
      <w:numFmt w:val="bullet"/>
      <w:lvlText w:val="•"/>
      <w:lvlJc w:val="left"/>
      <w:pPr>
        <w:ind w:left="2800" w:hanging="360"/>
      </w:pPr>
      <w:rPr>
        <w:rFonts w:hint="default"/>
        <w:lang w:val="en-us" w:eastAsia="en-us" w:bidi="en-us"/>
      </w:rPr>
    </w:lvl>
    <w:lvl w:ilvl="4">
      <w:start w:val="0"/>
      <w:numFmt w:val="bullet"/>
      <w:lvlText w:val="•"/>
      <w:lvlJc w:val="left"/>
      <w:pPr>
        <w:ind w:left="4051" w:hanging="360"/>
      </w:pPr>
      <w:rPr>
        <w:rFonts w:hint="default"/>
        <w:lang w:val="en-us" w:eastAsia="en-us" w:bidi="en-us"/>
      </w:rPr>
    </w:lvl>
    <w:lvl w:ilvl="5">
      <w:start w:val="0"/>
      <w:numFmt w:val="bullet"/>
      <w:lvlText w:val="•"/>
      <w:lvlJc w:val="left"/>
      <w:pPr>
        <w:ind w:left="5302" w:hanging="360"/>
      </w:pPr>
      <w:rPr>
        <w:rFonts w:hint="default"/>
        <w:lang w:val="en-us" w:eastAsia="en-us" w:bidi="en-us"/>
      </w:rPr>
    </w:lvl>
    <w:lvl w:ilvl="6">
      <w:start w:val="0"/>
      <w:numFmt w:val="bullet"/>
      <w:lvlText w:val="•"/>
      <w:lvlJc w:val="left"/>
      <w:pPr>
        <w:ind w:left="6554" w:hanging="360"/>
      </w:pPr>
      <w:rPr>
        <w:rFonts w:hint="default"/>
        <w:lang w:val="en-us" w:eastAsia="en-us" w:bidi="en-us"/>
      </w:rPr>
    </w:lvl>
    <w:lvl w:ilvl="7">
      <w:start w:val="0"/>
      <w:numFmt w:val="bullet"/>
      <w:lvlText w:val="•"/>
      <w:lvlJc w:val="left"/>
      <w:pPr>
        <w:ind w:left="7805" w:hanging="360"/>
      </w:pPr>
      <w:rPr>
        <w:rFonts w:hint="default"/>
        <w:lang w:val="en-us" w:eastAsia="en-us" w:bidi="en-us"/>
      </w:rPr>
    </w:lvl>
    <w:lvl w:ilvl="8">
      <w:start w:val="0"/>
      <w:numFmt w:val="bullet"/>
      <w:lvlText w:val="•"/>
      <w:lvlJc w:val="left"/>
      <w:pPr>
        <w:ind w:left="9057" w:hanging="360"/>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en-us"/>
    </w:rPr>
  </w:style>
  <w:style w:styleId="Heading1" w:type="paragraph">
    <w:name w:val="Heading 1"/>
    <w:basedOn w:val="Normal"/>
    <w:uiPriority w:val="1"/>
    <w:qFormat/>
    <w:pPr>
      <w:spacing w:before="20" w:line="417" w:lineRule="exact"/>
      <w:ind w:left="20"/>
      <w:outlineLvl w:val="1"/>
    </w:pPr>
    <w:rPr>
      <w:rFonts w:ascii="Tahoma" w:hAnsi="Tahoma" w:eastAsia="Tahoma" w:cs="Tahoma"/>
      <w:sz w:val="36"/>
      <w:szCs w:val="36"/>
      <w:lang w:val="en-us" w:eastAsia="en-us" w:bidi="en-us"/>
    </w:rPr>
  </w:style>
  <w:style w:styleId="Heading2" w:type="paragraph">
    <w:name w:val="Heading 2"/>
    <w:basedOn w:val="Normal"/>
    <w:uiPriority w:val="1"/>
    <w:qFormat/>
    <w:pPr>
      <w:spacing w:before="8"/>
      <w:ind w:left="20"/>
      <w:outlineLvl w:val="2"/>
    </w:pPr>
    <w:rPr>
      <w:rFonts w:ascii="Times New Roman" w:hAnsi="Times New Roman" w:eastAsia="Times New Roman" w:cs="Times New Roman"/>
      <w:b/>
      <w:bCs/>
      <w:sz w:val="28"/>
      <w:szCs w:val="28"/>
      <w:lang w:val="en-us" w:eastAsia="en-us" w:bidi="en-us"/>
    </w:rPr>
  </w:style>
  <w:style w:styleId="Heading3" w:type="paragraph">
    <w:name w:val="Heading 3"/>
    <w:basedOn w:val="Normal"/>
    <w:uiPriority w:val="1"/>
    <w:qFormat/>
    <w:pPr>
      <w:ind w:left="1698" w:right="1701"/>
      <w:outlineLvl w:val="3"/>
    </w:pPr>
    <w:rPr>
      <w:rFonts w:ascii="Times New Roman" w:hAnsi="Times New Roman" w:eastAsia="Times New Roman" w:cs="Times New Roman"/>
      <w:sz w:val="24"/>
      <w:szCs w:val="24"/>
      <w:lang w:val="en-us" w:eastAsia="en-us" w:bidi="en-us"/>
    </w:rPr>
  </w:style>
  <w:style w:styleId="Heading4" w:type="paragraph">
    <w:name w:val="Heading 4"/>
    <w:basedOn w:val="Normal"/>
    <w:uiPriority w:val="1"/>
    <w:qFormat/>
    <w:pPr>
      <w:spacing w:before="71"/>
      <w:ind w:left="1619" w:right="1949"/>
      <w:jc w:val="center"/>
      <w:outlineLvl w:val="4"/>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ind w:left="2084" w:hanging="36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ind w:left="99"/>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ortigueira.sedelectronica.es/" TargetMode="External"/><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image" Target="media/image7.jpeg"/><Relationship Id="rId17" Type="http://schemas.openxmlformats.org/officeDocument/2006/relationships/header" Target="header6.xml"/><Relationship Id="rId18" Type="http://schemas.openxmlformats.org/officeDocument/2006/relationships/image" Target="media/image1.jpeg"/><Relationship Id="rId1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2018-05-30T10:45:32Z</dcterms:created>
  <dcterms:modified xsi:type="dcterms:W3CDTF">2018-05-30T10:45:32Z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Creator">
    <vt:lpwstr>Writer</vt:lpwstr>
  </property>
  <property fmtid="{D5CDD505-2E9C-101B-9397-08002B2CF9AE}" pid="4" name="LastSaved">
    <vt:filetime>2018-05-30T00:00:00Z</vt:filetime>
  </property>
</Properties>
</file>